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EDE" w:rsidRPr="0050366C" w:rsidRDefault="000C0EDE" w:rsidP="000C0EDE">
      <w:pPr>
        <w:pStyle w:val="berschrift2"/>
      </w:pPr>
      <w:r w:rsidRPr="000C0EDE">
        <w:rPr>
          <w:rFonts w:asciiTheme="minorHAnsi" w:eastAsia="Lucida Sans Unicode" w:hAnsiTheme="minorHAnsi"/>
          <w:color w:val="auto"/>
          <w:sz w:val="22"/>
          <w:szCs w:val="24"/>
        </w:rPr>
        <w:t>12.01 -</w:t>
      </w:r>
      <w:r w:rsidRPr="000C0EDE">
        <w:t>Liturgia Słowa</w:t>
      </w:r>
    </w:p>
    <w:p w:rsidR="00DE3091" w:rsidRDefault="00DE3091"/>
    <w:p w:rsidR="002E0FC3" w:rsidRDefault="005A4CD9">
      <w:r>
        <w:t>Po omówieniu obrzędów wstępnych przejdziemy dziś do ukazania bogactwa jakie zawiera w sobie liturgia słowa. Następuje ona po obrzędach wstępnych, które – jak mam nadzieję pamiętamy – kończą się pierwszą modlitwą przewodniczącego liturgii tzw. kolektą czy inaczej modlitwą dnia.</w:t>
      </w:r>
    </w:p>
    <w:p w:rsidR="003C2F93" w:rsidRDefault="003C2F93"/>
    <w:p w:rsidR="00D33221" w:rsidRDefault="002E0FC3" w:rsidP="00D33221">
      <w:r>
        <w:t xml:space="preserve">Jednym </w:t>
      </w:r>
      <w:r w:rsidR="005A2AC3">
        <w:t>z soborowych postulatów był</w:t>
      </w:r>
      <w:r w:rsidR="00B82603">
        <w:t>t</w:t>
      </w:r>
      <w:r w:rsidR="005A2AC3">
        <w:t>en</w:t>
      </w:r>
      <w:r>
        <w:t xml:space="preserve"> by przywrócić pewne elementy niesłusznie zatracone w ciągu wieków, stosownie do pierwotnej tradycji Ojców Kościoła</w:t>
      </w:r>
      <w:r>
        <w:rPr>
          <w:rStyle w:val="Funotenzeichen"/>
        </w:rPr>
        <w:footnoteReference w:id="2"/>
      </w:r>
      <w:r w:rsidR="00EC6697">
        <w:t>. Do nich należało właśnie czytanie Pisma Świętego podczas liturgii</w:t>
      </w:r>
      <w:r>
        <w:t>,</w:t>
      </w:r>
      <w:r w:rsidR="00EC6697">
        <w:t xml:space="preserve"> które w mszale Piusa V było bardzo ograniczone i ubogie. Dlatego też ojcowie soborowi sugerowali, by „obficiej zastawić wiernymstół słowa Bożego” i „szerzej otworzyć skarbiec biblijny,tak by w określonej liczbie lat odczytać ludowi ważniejsze części Pisma świętego”</w:t>
      </w:r>
      <w:r w:rsidR="00EC6697">
        <w:rPr>
          <w:rStyle w:val="Funotenzeichen"/>
        </w:rPr>
        <w:footnoteReference w:id="3"/>
      </w:r>
      <w:r w:rsidR="00D33221">
        <w:t xml:space="preserve">Bowiem </w:t>
      </w:r>
      <w:r w:rsidR="00D33221" w:rsidRPr="003C2F93">
        <w:t>główną część liturgii słowa stanowią czytania wzięte z Pisma świętego oraz wykonywane między nimi śpiewy; homilia zaś, wyznanie wiary i modlitwa powszechna, czyli modlitwa wiernych, są rozwinięciem i zakończeniem liturgii słowa.</w:t>
      </w:r>
      <w:r w:rsidR="00D33221">
        <w:rPr>
          <w:rStyle w:val="Funotenzeichen"/>
        </w:rPr>
        <w:footnoteReference w:id="4"/>
      </w:r>
    </w:p>
    <w:p w:rsidR="002E0FC3" w:rsidRDefault="00B97D86" w:rsidP="00D33221">
      <w:pPr>
        <w:ind w:firstLine="708"/>
      </w:pPr>
      <w:r>
        <w:t>„</w:t>
      </w:r>
      <w:r w:rsidR="00D33221">
        <w:t xml:space="preserve">Sprawowanie </w:t>
      </w:r>
      <w:r>
        <w:t xml:space="preserve">liturgii staje się ciągłym, pełnym i skutecznym głoszeniem Słowa Bożego. Słowo Boże </w:t>
      </w:r>
      <w:r w:rsidR="00E21027">
        <w:t>nieustannie głoszone w liturgii jest ciągle żywe i skuteczne dzięki mocy Ducha Świętego oraz objawia czynną miłość Ojca w jej niesłabnącej skuteczności w stosunku do ludzi”</w:t>
      </w:r>
      <w:r w:rsidR="00E21027">
        <w:rPr>
          <w:rStyle w:val="Funotenzeichen"/>
        </w:rPr>
        <w:footnoteReference w:id="5"/>
      </w:r>
      <w:r w:rsidR="00D33221">
        <w:t xml:space="preserve">,jak zaznaczyli biskupi uczestniczący w Synodzie na temat </w:t>
      </w:r>
      <w:r w:rsidR="00D33221" w:rsidRPr="00E21027">
        <w:t>Słow</w:t>
      </w:r>
      <w:r w:rsidR="00D33221">
        <w:t>a</w:t>
      </w:r>
      <w:r w:rsidR="00D33221" w:rsidRPr="00E21027">
        <w:t xml:space="preserve"> Boże</w:t>
      </w:r>
      <w:r w:rsidR="00D33221">
        <w:t>go</w:t>
      </w:r>
      <w:r w:rsidR="00D33221" w:rsidRPr="00E21027">
        <w:t xml:space="preserve"> w życiu i misji Kościoła</w:t>
      </w:r>
      <w:r w:rsidR="00D33221">
        <w:t>, który odbył się w Rzymie w 2008 r.</w:t>
      </w:r>
    </w:p>
    <w:p w:rsidR="000C0EDE" w:rsidRDefault="00614CB3">
      <w:bookmarkStart w:id="0" w:name="_GoBack"/>
      <w:r>
        <w:t>[</w:t>
      </w:r>
      <w:r w:rsidR="00D33221">
        <w:t xml:space="preserve">Jak pamiętamy również z naszego </w:t>
      </w:r>
      <w:r w:rsidR="00C86892">
        <w:t>pierwszego spotkania</w:t>
      </w:r>
      <w:r w:rsidR="00D33221">
        <w:t>, podczas którego</w:t>
      </w:r>
      <w:r w:rsidR="00E24110">
        <w:t xml:space="preserve">mówiliśmy m.in. o różnych formach obecności Chrystusa w </w:t>
      </w:r>
      <w:r w:rsidR="00D27488">
        <w:t>zgromadzeniu liturgicznym</w:t>
      </w:r>
      <w:r w:rsidR="00D33221">
        <w:t xml:space="preserve">, </w:t>
      </w:r>
      <w:r w:rsidR="00D27488">
        <w:t>powiedzieliśmy sobie wtedy</w:t>
      </w:r>
      <w:r w:rsidR="00C86892">
        <w:t xml:space="preserve">, że Chrystus jest obecny </w:t>
      </w:r>
      <w:r w:rsidR="00D27488" w:rsidRPr="00D27488">
        <w:t>również w słowie: „gdy w Kościele czyta się Pismo święte, wówczas On sam mówi”, jak też towarzyszy swojemu Kościołowi gdy ten się modli i śpiewa psalmy.</w:t>
      </w:r>
    </w:p>
    <w:p w:rsidR="00D33221" w:rsidRDefault="00D33221">
      <w:r>
        <w:t>„Dlatego należy pojąć i wykorzystać zasadniczą wartość jaką czynność liturgiczna ma dla zrozumienia słowa Bożego.</w:t>
      </w:r>
      <w:r w:rsidR="00D91892">
        <w:t xml:space="preserve"> (…) zawsze trzeba mieć na uwadze to, że słowo Boże, odczytywane i głoszone przez Kościół w liturgii, prowadzi do ofiary przymierza i uczty łaski, to jest do Eucharystii. Słowo i Eucharystia </w:t>
      </w:r>
      <w:r w:rsidR="0027763C">
        <w:t>tak ściśle przynależą do siebie, że nie można zrozumieć pierwszego bez drugiej: słowo Boże staje się sakramentalnym ciałem w wydarzeniu eucharystycznym. Eucharystia otwiera nas na zrozumienie Pisma świętego, tak jak Pismo święte oświeca i wyjaśnia tajemnice eucharystyczną.</w:t>
      </w:r>
      <w:r w:rsidR="0027763C">
        <w:rPr>
          <w:rStyle w:val="Funotenzeichen"/>
        </w:rPr>
        <w:footnoteReference w:id="6"/>
      </w:r>
      <w:r w:rsidR="00614CB3">
        <w:t>]</w:t>
      </w:r>
    </w:p>
    <w:bookmarkEnd w:id="0"/>
    <w:p w:rsidR="00D33221" w:rsidRDefault="00F44660">
      <w:r>
        <w:t>W liturgii słowa inicjatywę przejmuje Bóg i zwraca się do swego ludu rozpoczynając z nim dialog. W słowie Chrystus jest nie tylko obecny lecz jest również tym, który działa. W liturgii słowa Chrystus sam przekazuje nam swoją naukę, objawiając nam samego siebie. Gdy głoszone jest Słowo Boże nie dokonuje się tylko jakieś subiektywne przypomnienie zbawczej obecności Boga w historii, ale sam Chrystus realnie obecny w swoim słowie uobecnia swoje działanie.</w:t>
      </w:r>
      <w:r w:rsidR="00A17315">
        <w:t xml:space="preserve"> Do słuchających Słowa Bożego przemawia sam Bóg, który objawia się nam przez czyny i słowa, które są ze sobą wewnętrznie powiązane. Liturgia słowa jest wspominaniem wielkich wydarzeń zbawczych, które dla chrześcijan mają głębokie, egzystencjalne znaczenie. Słuchanie Słowa Bożego to powrót do momentów, które miały miejsce w historii i wywarły istotny wpływ na egzystencję ludzi, pozwalając </w:t>
      </w:r>
      <w:r w:rsidR="00D95D1A">
        <w:t xml:space="preserve">im uzyskać określoną tożsamość. Powracając pamięcią do sytuacji z przeszłości, nowe pokolenia odnajdują w nich duchowe dziedzictwo przodków i poznają prawdę o swoim pochodzeniu. W ten sposób poznajemy, do czego zostaliśmy powołani przez Boga, kim jesteśmy wobec siebie nawzajem i jaka jest nasza misja w świecie. Liturgia słowa jest zatem uroczystym wspominaniem wielkich dzieł Boga, które dokonuje się we wspólnocie ludu Bożego. </w:t>
      </w:r>
      <w:r w:rsidR="00EC1489">
        <w:t>Jest to akcja rytualno-symb</w:t>
      </w:r>
      <w:r w:rsidR="001328CF">
        <w:t>o</w:t>
      </w:r>
      <w:r w:rsidR="00EC1489">
        <w:t xml:space="preserve">liczna, w której to co się „czyni” ma głębszy sens aniżeli to, co dokonuje się na płaszczyźnie materialnej. Podczas celebracji słowa Bożego </w:t>
      </w:r>
      <w:r w:rsidR="00EC1489">
        <w:lastRenderedPageBreak/>
        <w:t>zwracamy się ku wartościom, które uznajemy za źródło, podstawę i tło interpretacji naszego własnego powołania. Wsłuchując się w teksty biblijne i poznając ich treść, przyjmujemy je jako wolę Boga, który na nowo wzywa nas do przemiany życia w świetle wartości chrześcijańskich.</w:t>
      </w:r>
      <w:r w:rsidR="001C350A">
        <w:t>Właściwą odpowiedzią na działanie Boga jest przyjęcie Jego słowa w duchu posłuszeństwa, co znajduje swój wyraz w życiu wspólnoty wierzących. W ten sposób przez proklamację słowa Bożego dokonuje się transformacja wspólnoty chrześcijańskiej, która staje się tym, co w liturgii słowa jest wspominane: wspólnotą odkupionych, ludem Nowego Przymierza. W ten sposób słowo Boże pozwala na osobowe spotkanie z Chrystusem w komunii św. Odsłania ono tajemnicę rzeczy przyszłych, zaś Eucharystia jest antycypacją w niebieskim dziedzictwie oraz daje nadzieję na jego pełne i wieczne posiadanie.</w:t>
      </w:r>
      <w:r w:rsidR="007F66F7">
        <w:t xml:space="preserve"> Skuteczność Eucharystii byłaby niezrozumiała bez skuteczności właściwej dla słowa.</w:t>
      </w:r>
      <w:r w:rsidR="007F66F7">
        <w:rPr>
          <w:rStyle w:val="Funotenzeichen"/>
        </w:rPr>
        <w:footnoteReference w:id="7"/>
      </w:r>
    </w:p>
    <w:p w:rsidR="007F66F7" w:rsidRDefault="007F66F7">
      <w:r>
        <w:t>Liturgia słowa ma charakter</w:t>
      </w:r>
      <w:r w:rsidR="00B6730A">
        <w:t xml:space="preserve"> opisowy, apelatywny, pragmatyczny i mądrościowy. Możemy zatem powiedzieć, że ma ona bardziej charakter dydaktyczny. Ukształtowana za każdym w sposób odmienny, za sprawą różnorodności czytań, treści homilii i próśb, przedstawia w ten tylko jeden aspekt historii zbawienia, za każdym razem inny. </w:t>
      </w:r>
      <w:r w:rsidR="00804474">
        <w:t>Jednak spoglądając na swoje życie w świetle słowa Bożego możemy zdobywać przekonanie, że to, co wcześniej było uważane za coś złego, destrukcyjnego, w rzeczywistości stanowi część wydarzenia odkupienia. W ten sposób słowo boże ustanawia na nowo związek pomiędzy moim życiem i Bogiem. Słuchając uważnie Bożego słowa, pozwalamy, aby ono przenikało do naszego serca i wypełniało nas życiodajnym Duchem, który z kolei prowadzi nas do odkrywania prawdy o naszym życiu i wskazuje nam drogę do pełnej wolności dzieci Bożych.</w:t>
      </w:r>
      <w:r w:rsidR="00BE6129">
        <w:rPr>
          <w:rStyle w:val="Funotenzeichen"/>
        </w:rPr>
        <w:footnoteReference w:id="8"/>
      </w:r>
    </w:p>
    <w:p w:rsidR="00206889" w:rsidRDefault="00206889" w:rsidP="00072B0B"/>
    <w:p w:rsidR="00206889" w:rsidRPr="00206889" w:rsidRDefault="00206889" w:rsidP="00206889">
      <w:pPr>
        <w:pStyle w:val="Listenabsatz"/>
        <w:ind w:left="1069" w:firstLine="0"/>
        <w:rPr>
          <w:b/>
        </w:rPr>
      </w:pPr>
      <w:r w:rsidRPr="00206889">
        <w:rPr>
          <w:b/>
        </w:rPr>
        <w:t>Czytania biblijne</w:t>
      </w:r>
    </w:p>
    <w:p w:rsidR="00072B0B" w:rsidRPr="00321AA2" w:rsidRDefault="00BE6129" w:rsidP="00072B0B">
      <w:pPr>
        <w:rPr>
          <w:i/>
        </w:rPr>
      </w:pPr>
      <w:r>
        <w:t xml:space="preserve">Jak wspomniałam na początku główną cześć liturgii słowa stanowią </w:t>
      </w:r>
      <w:r w:rsidRPr="00BE6129">
        <w:t>czytania wzięte z Pisma świętego</w:t>
      </w:r>
      <w:r>
        <w:t xml:space="preserve">. W niedziele i uroczystości są zazwyczaj trzy czytania: ze Starego Testamentu, z listów Apostolskich i Ewangelia. </w:t>
      </w:r>
      <w:r w:rsidR="002D417F">
        <w:t xml:space="preserve">Taki układ czytań, nawiązujący do tradycji zachowanej w Kościele przez długie wieki ukazuje jedność obydwu Testamentów i dziejów zbawienia zgodnie z zasadą wyrażoną przez św. Augustyna: </w:t>
      </w:r>
      <w:r w:rsidR="001E3619">
        <w:t>„</w:t>
      </w:r>
      <w:r w:rsidR="002D417F">
        <w:t>W Starym Testamencie kryje się bowiem Nowy, a w Nowym Testamencie</w:t>
      </w:r>
      <w:r w:rsidR="001E3619">
        <w:t xml:space="preserve"> odsłania się Stary”</w:t>
      </w:r>
      <w:r w:rsidR="002D417F">
        <w:t>.</w:t>
      </w:r>
      <w:r w:rsidR="001E3619">
        <w:rPr>
          <w:rStyle w:val="Funotenzeichen"/>
        </w:rPr>
        <w:footnoteReference w:id="9"/>
      </w:r>
      <w:r w:rsidR="003600BE">
        <w:t xml:space="preserve"> Pragnieniem ojców soborowych było, aby w przyjętych cyklach czytań wierni mogli poznać </w:t>
      </w:r>
      <w:r w:rsidR="0095639E">
        <w:t>znaczną cześć Pisma świętego.</w:t>
      </w:r>
      <w:r w:rsidR="0095639E">
        <w:rPr>
          <w:rStyle w:val="Funotenzeichen"/>
        </w:rPr>
        <w:footnoteReference w:id="10"/>
      </w:r>
      <w:r w:rsidR="0095639E" w:rsidRPr="0095639E">
        <w:rPr>
          <w:i/>
        </w:rPr>
        <w:t>Bardziej urozmaicony i obfitszy dobór czytań w niedziele i święta jest zapewniony także przez to, iż na te dni przewiduje się cykl trzyletni, tak że te same teksty są czytane dopiero po upływie trzech lat.</w:t>
      </w:r>
      <w:r w:rsidR="0095639E">
        <w:rPr>
          <w:rStyle w:val="Funotenzeichen"/>
          <w:i/>
        </w:rPr>
        <w:footnoteReference w:id="11"/>
      </w:r>
      <w:r w:rsidR="0095639E">
        <w:t xml:space="preserve"> Poszczególne lata oznacza się literami A, B, C. Ustalenia zaś, który rok ma być rokiem A, B, C, dokonuje się następująco: Literą C oznacza się rok, którego liczba jest podzielna przez trzy, przyjmując za początek cyklu rok pierwszy ery chrześcijańskiej. Określenie roku każdego cyklu łączy się ze szczególną cechą Ewangelii synoptycznej, która jest czytana w sposób półciągły w okresie zwykłym roku. Stąd pierwszy rok cyklu jest rokiem czytania Mateusza, rok drugi jest rokiem czytania Marka, trzeci – rokiem czytania Łukasza.</w:t>
      </w:r>
      <w:r w:rsidR="0095639E">
        <w:rPr>
          <w:rStyle w:val="Funotenzeichen"/>
        </w:rPr>
        <w:footnoteReference w:id="12"/>
      </w:r>
      <w:r w:rsidR="0095639E">
        <w:t xml:space="preserve"> I tak obecny rok 2013 jest rokiem C</w:t>
      </w:r>
      <w:r w:rsidR="00072B0B">
        <w:t>, a zatem w niedziele w ciągu roku będziemy słyszeć fragmenty Ewangelii wg. św. Łukasza.</w:t>
      </w:r>
      <w:r w:rsidR="00072B0B" w:rsidRPr="003600BE">
        <w:rPr>
          <w:i/>
        </w:rPr>
        <w:t>W niedziele zwykłe,które nie mają jakiegoś szczególnego charakteru, zarówno teksty czytańz listów apostolskich, jak i Ewangelii są ułożone w porządku półciągłym,podczas gdy czytanie ze Starego Testamentu jest zharmonizowanez Ewangelią.</w:t>
      </w:r>
      <w:r w:rsidR="00072B0B">
        <w:rPr>
          <w:rStyle w:val="Funotenzeichen"/>
          <w:i/>
        </w:rPr>
        <w:footnoteReference w:id="13"/>
      </w:r>
    </w:p>
    <w:p w:rsidR="00072B0B" w:rsidRDefault="00072B0B" w:rsidP="00072B0B">
      <w:r w:rsidRPr="003600BE">
        <w:rPr>
          <w:i/>
        </w:rPr>
        <w:t xml:space="preserve">Inne powiązanie między tekstami czytań poszczególnych Mszywystępuje w okresie Adwentu, Wielkiego Postu i Wielkanocy, to jestw okresach o szczególnym znaczeniu. </w:t>
      </w:r>
      <w:r w:rsidRPr="00910C68">
        <w:rPr>
          <w:i/>
        </w:rPr>
        <w:t xml:space="preserve">Dobór i porządek czytań </w:t>
      </w:r>
      <w:r w:rsidRPr="00072B0B">
        <w:t xml:space="preserve">w </w:t>
      </w:r>
      <w:r w:rsidRPr="00072B0B">
        <w:lastRenderedPageBreak/>
        <w:t>tych</w:t>
      </w:r>
      <w:r>
        <w:t>okresach</w:t>
      </w:r>
      <w:r w:rsidRPr="00910C68">
        <w:rPr>
          <w:i/>
        </w:rPr>
        <w:t xml:space="preserve"> zmierza do tego, aby wierni stopniowo coraz głębiej poznawali wyznawaną przez siebie wiarę i dzieje zbawienia. Dzięki temu układ czytań odpowiada potrzebom i dążeniom ludu chrześcijańskiego.</w:t>
      </w:r>
      <w:r>
        <w:rPr>
          <w:rStyle w:val="Funotenzeichen"/>
          <w:i/>
        </w:rPr>
        <w:footnoteReference w:id="14"/>
      </w:r>
    </w:p>
    <w:p w:rsidR="00727C1D" w:rsidRPr="00727C1D" w:rsidRDefault="00727C1D" w:rsidP="00072B0B">
      <w:r>
        <w:t>W każdym okresie liturgicznym cykle czytań niedzielno – świątecznych i przeznaczonych na dni powszednie są od siebie niezależne.</w:t>
      </w:r>
      <w:r w:rsidRPr="00321AA2">
        <w:rPr>
          <w:i/>
        </w:rPr>
        <w:t>Dobór czytań w innych częściach lekcjonarza, a więc w obchodach ku czci świętych, w Mszach obrzędowych, w różnych potrzebach, w Mszach wotywnych i za zmarłych, jest oparty na odrębnych zasadach.</w:t>
      </w:r>
      <w:r>
        <w:rPr>
          <w:rStyle w:val="Funotenzeichen"/>
          <w:i/>
        </w:rPr>
        <w:footnoteReference w:id="15"/>
      </w:r>
    </w:p>
    <w:p w:rsidR="002D417F" w:rsidRDefault="00727C1D" w:rsidP="00077E1E">
      <w:r>
        <w:t xml:space="preserve">Warto tu zwrócić uwagę na jeszcze jeden szczegół: </w:t>
      </w:r>
      <w:r w:rsidR="00077E1E" w:rsidRPr="00077E1E">
        <w:rPr>
          <w:i/>
        </w:rPr>
        <w:t>W sprawowaniu Mszy Świętej nie może brakować czytań biblijnych ani śpiewów  zaczerpniętych z Pisma Świętego; nie wolno ich ani skracać, ani też, co byłoby jeszcze gorsze, zastępować żadnymi tekstami niebiblijnymi</w:t>
      </w:r>
      <w:r w:rsidR="00077E1E">
        <w:t>.</w:t>
      </w:r>
      <w:r w:rsidR="00077E1E">
        <w:rPr>
          <w:rStyle w:val="Funotenzeichen"/>
        </w:rPr>
        <w:footnoteReference w:id="16"/>
      </w:r>
    </w:p>
    <w:p w:rsidR="002D417F" w:rsidRDefault="00536757">
      <w:r>
        <w:t>W proklamacji słowa Bożego istotna jest również posługa lektora, czyli osoby wykonującej dane czytanie. O ile Ewangelia, podczas mszy św., może być odczytywana jedynie przez kapłana lub diakona, o tyle pierwsze i drugie czytanie może zostać powierzone lektorowi świeckiemu zarówno mężczyźnie jak i kobiecie. Jednakże istotne jest, aby zostali oni odpowiednio przygotowani do pełnienia tej funkcji w zgromadzeniu liturgicznym. I nie chodzi tu jedynie o przygotowanie techniczne, czyli o umiejętność głośnego</w:t>
      </w:r>
      <w:r w:rsidR="00AF217F">
        <w:t>, wyraźnego i żywego proklamowania Słowa Bożego, lecz również, a może przedewszystkim o formację biblijną i liturgiczną.</w:t>
      </w:r>
      <w:r w:rsidR="00AF217F">
        <w:rPr>
          <w:rStyle w:val="Funotenzeichen"/>
        </w:rPr>
        <w:footnoteReference w:id="17"/>
      </w:r>
    </w:p>
    <w:p w:rsidR="005C4735" w:rsidRPr="005C4735" w:rsidRDefault="005C4735" w:rsidP="005C4735">
      <w:r w:rsidRPr="005C4735">
        <w:rPr>
          <w:i/>
        </w:rPr>
        <w:t>Wśród obrzędów liturgii słowa należy szczególnie uważać na cześć należną czytaniu Ewangelii</w:t>
      </w:r>
      <w:r>
        <w:rPr>
          <w:rStyle w:val="Funotenzeichen"/>
          <w:i/>
        </w:rPr>
        <w:footnoteReference w:id="18"/>
      </w:r>
      <w:r>
        <w:rPr>
          <w:i/>
        </w:rPr>
        <w:t xml:space="preserve">. </w:t>
      </w:r>
      <w:r>
        <w:t xml:space="preserve">Aby podkreślić znaczenie tego aktu i wskazać, że jest ono szczytem liturgii słowa dobrze byłoby, zwłaszcza przy okazji ważnych celebracji posłużyć się Ewangeliarzem, czyli pięknie ozdobioną księgą zawierającą Ewangelie. </w:t>
      </w:r>
      <w:r w:rsidR="003535C8">
        <w:t>Powinien on być uroczyście wnoszony podczas obrzędów wstępnych, a następnie umieszczony na ołtarzu</w:t>
      </w:r>
      <w:r w:rsidR="00971447">
        <w:rPr>
          <w:rStyle w:val="Funotenzeichen"/>
        </w:rPr>
        <w:footnoteReference w:id="19"/>
      </w:r>
      <w:r w:rsidR="004B7356">
        <w:t>, skąd przed czytaniem Ewangelii zostaje przeniesiony na ambonę w uroczystej procesji, podczas której powinniśmy przyjąć postawę stojącą, jako wyraz szacunku i czci.</w:t>
      </w:r>
      <w:r w:rsidR="004B7356">
        <w:rPr>
          <w:rStyle w:val="Funotenzeichen"/>
        </w:rPr>
        <w:footnoteReference w:id="20"/>
      </w:r>
    </w:p>
    <w:p w:rsidR="00206889" w:rsidRDefault="00206889"/>
    <w:p w:rsidR="00206889" w:rsidRPr="00206889" w:rsidRDefault="00206889">
      <w:pPr>
        <w:rPr>
          <w:b/>
        </w:rPr>
      </w:pPr>
      <w:r w:rsidRPr="00206889">
        <w:rPr>
          <w:b/>
        </w:rPr>
        <w:t>Psalm responsoryjny</w:t>
      </w:r>
      <w:r w:rsidR="0055596C">
        <w:rPr>
          <w:b/>
        </w:rPr>
        <w:t xml:space="preserve"> i śpiew „Alleluja”</w:t>
      </w:r>
    </w:p>
    <w:p w:rsidR="002D417F" w:rsidRDefault="00536757">
      <w:r>
        <w:t xml:space="preserve">Czytaniom </w:t>
      </w:r>
      <w:r w:rsidR="00206889">
        <w:t xml:space="preserve">towarzyszy psalm responsoryjny, wykonywany po pierwszym czytaniu. Powinien on być z zasady śpiewany, przy czym może on być wykonywany na dwa sposoby: </w:t>
      </w:r>
      <w:r w:rsidR="004B7356">
        <w:t xml:space="preserve">responsoryjny – czyli z powtarzaniem refrenu </w:t>
      </w:r>
      <w:r w:rsidR="00D15930">
        <w:t>po każdej zwrotce, oraz ciągły. Jeśli psalm jest wykonywany w sposób ciągły może go śpiewać sam kantor lub też może być wykonywany przez całą zgr</w:t>
      </w:r>
      <w:r w:rsidR="003F13A6">
        <w:t>o</w:t>
      </w:r>
      <w:r w:rsidR="00D15930">
        <w:t>madzoną wspólnotę.</w:t>
      </w:r>
    </w:p>
    <w:p w:rsidR="003F13A6" w:rsidRDefault="003F13A6">
      <w:r>
        <w:t>Jeżeli psalm nie jest śpiewany, należy go tak wykonać w taki sposób, by sprzyjał on medytacji Bożego słowa.</w:t>
      </w:r>
    </w:p>
    <w:p w:rsidR="0055596C" w:rsidRDefault="0055596C">
      <w:r>
        <w:t>Również śpiew „Alleluja” lub inny przeznaczony na dany okres liturgiczny, jest samoistnym aktem, czyli obrzędem, poprzez który wyrażamy naszą wiarę i pragnienie przyjęcia Pana mającego do nas przemówić poprzez słowa Ewangelii. Dlatego też podczas tego śpiewu przyjmujemy postawę stojącą</w:t>
      </w:r>
      <w:r w:rsidR="00865851">
        <w:t xml:space="preserve">. </w:t>
      </w:r>
      <w:r>
        <w:t>W okresie Wielkiego Postu śpiew „Alleluja” jest zastępowany przez inną aklamację, np. „Chwała Tobie Słowo Boże”.</w:t>
      </w:r>
    </w:p>
    <w:p w:rsidR="003F13A6" w:rsidRDefault="003F13A6"/>
    <w:p w:rsidR="003F13A6" w:rsidRPr="003F13A6" w:rsidRDefault="003F13A6">
      <w:pPr>
        <w:rPr>
          <w:b/>
        </w:rPr>
      </w:pPr>
      <w:r w:rsidRPr="003F13A6">
        <w:rPr>
          <w:b/>
        </w:rPr>
        <w:t>Ambona</w:t>
      </w:r>
    </w:p>
    <w:p w:rsidR="005A4CD9" w:rsidRPr="005A4CD9" w:rsidRDefault="005A4CD9" w:rsidP="003F13A6">
      <w:r>
        <w:t>Warto zwrócić uwagę na jeszcze jeden element związany z liturgią słowa. Jest nim ambona, o której tam mówi nam ogólne wprowadzenie do mszału rzymskiego:</w:t>
      </w:r>
    </w:p>
    <w:p w:rsidR="003F13A6" w:rsidRPr="003F13A6" w:rsidRDefault="003F13A6" w:rsidP="003F13A6">
      <w:pPr>
        <w:rPr>
          <w:i/>
        </w:rPr>
      </w:pPr>
      <w:r w:rsidRPr="003F13A6">
        <w:rPr>
          <w:i/>
        </w:rPr>
        <w:t>Godność słowa Bożego wymaga, by w kościele było ono głoszone z miejsca, na którym w czasie Liturgii słowa spontanicznie skupia się uwaga wiernych.</w:t>
      </w:r>
    </w:p>
    <w:p w:rsidR="003F13A6" w:rsidRPr="003F13A6" w:rsidRDefault="003F13A6" w:rsidP="003F13A6">
      <w:pPr>
        <w:rPr>
          <w:i/>
        </w:rPr>
      </w:pPr>
      <w:r w:rsidRPr="003F13A6">
        <w:rPr>
          <w:i/>
        </w:rPr>
        <w:lastRenderedPageBreak/>
        <w:t>Z zasady winna to być stała ambona, a nie zwykły, przenośny pulpit. Ambona odpowiednio wkomponowana we wnętrze kościoła powinna być tak umieszczona, by czytający i mówiący byli dobrze widziani i słyszani przez wiernych.</w:t>
      </w:r>
    </w:p>
    <w:p w:rsidR="002D417F" w:rsidRPr="003F13A6" w:rsidRDefault="003F13A6" w:rsidP="003F13A6">
      <w:pPr>
        <w:rPr>
          <w:i/>
        </w:rPr>
      </w:pPr>
      <w:r w:rsidRPr="003F13A6">
        <w:rPr>
          <w:i/>
        </w:rPr>
        <w:t>Z ambony wykonuje się jedynie czytania, psalm responsoryjny oraz orędzie wielkanocne; można też stąd wygłaszać homilię i intencje modlitwy powszechnej. Godność ambony wymaga, aby wstępował na nią tylko sługa słowa.</w:t>
      </w:r>
      <w:r>
        <w:rPr>
          <w:rStyle w:val="Funotenzeichen"/>
          <w:i/>
        </w:rPr>
        <w:footnoteReference w:id="21"/>
      </w:r>
    </w:p>
    <w:p w:rsidR="002D417F" w:rsidRDefault="002D417F"/>
    <w:p w:rsidR="002D417F" w:rsidRPr="00865851" w:rsidRDefault="00865851">
      <w:pPr>
        <w:rPr>
          <w:b/>
        </w:rPr>
      </w:pPr>
      <w:r w:rsidRPr="00865851">
        <w:rPr>
          <w:b/>
        </w:rPr>
        <w:t>Homilia</w:t>
      </w:r>
    </w:p>
    <w:p w:rsidR="006A5F89" w:rsidRDefault="006A5F89" w:rsidP="006A5F89">
      <w:r w:rsidRPr="006A5F89">
        <w:rPr>
          <w:i/>
        </w:rPr>
        <w:t>W niedziele i obowiązujące święta homilię należy głosić podczas wszystkich Mszy sprawowanych z udziałem ludu; można ją opuścić jedynie z bardzo ważnego powodu</w:t>
      </w:r>
      <w:r>
        <w:t>.</w:t>
      </w:r>
      <w:r>
        <w:rPr>
          <w:rStyle w:val="Funotenzeichen"/>
        </w:rPr>
        <w:footnoteReference w:id="22"/>
      </w:r>
      <w:r>
        <w:t xml:space="preserve"> Jak pucza nas wprowadzenie do Lekcjonarza mszalnego i soborowa Konstytucja o Liturgii </w:t>
      </w:r>
      <w:r w:rsidRPr="00865851">
        <w:rPr>
          <w:i/>
        </w:rPr>
        <w:t>stanowi</w:t>
      </w:r>
      <w:r w:rsidRPr="00231555">
        <w:t>[ona]</w:t>
      </w:r>
      <w:r w:rsidRPr="00865851">
        <w:rPr>
          <w:i/>
        </w:rPr>
        <w:t xml:space="preserve"> część liturgii słowa</w:t>
      </w:r>
      <w:r>
        <w:rPr>
          <w:rStyle w:val="Funotenzeichen"/>
          <w:i/>
        </w:rPr>
        <w:footnoteReference w:id="23"/>
      </w:r>
      <w:r>
        <w:rPr>
          <w:i/>
        </w:rPr>
        <w:t xml:space="preserve">. </w:t>
      </w:r>
      <w:r w:rsidRPr="00865851">
        <w:t>Dlatego</w:t>
      </w:r>
      <w:r>
        <w:t xml:space="preserve"> też </w:t>
      </w:r>
      <w:r>
        <w:rPr>
          <w:i/>
          <w:iCs/>
        </w:rPr>
        <w:t>b</w:t>
      </w:r>
      <w:r w:rsidRPr="000C0EDE">
        <w:rPr>
          <w:i/>
          <w:iCs/>
        </w:rPr>
        <w:t>ez poważnego powodu nie należy jej opuszczać we Mszach świętych sprawowanych z udziałem wiernych w niedziele i święta nakazane.</w:t>
      </w:r>
      <w:r>
        <w:rPr>
          <w:rStyle w:val="Funotenzeichen"/>
          <w:i/>
        </w:rPr>
        <w:footnoteReference w:id="24"/>
      </w:r>
    </w:p>
    <w:p w:rsidR="00F413DA" w:rsidRPr="000F4A21" w:rsidRDefault="00F413DA" w:rsidP="00F413DA">
      <w:pPr>
        <w:rPr>
          <w:i/>
        </w:rPr>
      </w:pPr>
      <w:r w:rsidRPr="000F4A21">
        <w:rPr>
          <w:i/>
        </w:rPr>
        <w:t>Homilię winien z zasady głosić kapłan celebrujący. Może on ją zlecić kapłanowi koncelebrującemu lub niekiedy, zależnie od okoliczności, także diakonowi, nigdy zaś osobie świeckiej. W szczególnych przypadkach i ze słusznej przyczyny homilię może wygłosić także biskup lub prezbiter, który uczestniczy w celebracji, choć nie może koncelebrować.</w:t>
      </w:r>
      <w:r>
        <w:rPr>
          <w:rStyle w:val="Funotenzeichen"/>
          <w:i/>
        </w:rPr>
        <w:footnoteReference w:id="25"/>
      </w:r>
    </w:p>
    <w:p w:rsidR="000F4A21" w:rsidRDefault="000F4A21" w:rsidP="006A5F89">
      <w:r>
        <w:t xml:space="preserve">Jak zauważyli biskupi na synodzie poświęconym Słowu Bożemu, homilia uaktualnia przesłanie Pisma świętego, ażeby wierni mogli odkryć obecność i skuteczność Słowa Bożego w swoim codziennym życiu. Powinna ona ułatwić zrozumienie sprawowanej tajemnicy, zachęcić do podjęcia konkretnych działań, wynikających z zaproszenia jakie kieruje do nas Bóg poprzez swoje słowo, </w:t>
      </w:r>
      <w:r w:rsidR="00CB0A06">
        <w:t>przygotować do wyznania wiary, modlitwy powszechnej i liturgii eucharystycznej.</w:t>
      </w:r>
      <w:r w:rsidR="00F413DA">
        <w:rPr>
          <w:rStyle w:val="Funotenzeichen"/>
        </w:rPr>
        <w:footnoteReference w:id="26"/>
      </w:r>
    </w:p>
    <w:p w:rsidR="00455A8D" w:rsidRDefault="00CB0A06" w:rsidP="006A5F89">
      <w:r>
        <w:t>Homilia</w:t>
      </w:r>
      <w:r w:rsidR="00F413DA">
        <w:t xml:space="preserve"> powinna opierać się na tekstach Pisma świętego odczytanych podczas liturgii i może nawiązywać do celebrowanych wydarzeń zbawczych, tj. przeżywanego okresu liturgicznego czy też uroczystości lub święta. </w:t>
      </w:r>
    </w:p>
    <w:p w:rsidR="004F3AE8" w:rsidRDefault="00F413DA" w:rsidP="006A5F89">
      <w:r>
        <w:t xml:space="preserve">Nie powinna być jednak kazaniem, czyli </w:t>
      </w:r>
      <w:r w:rsidR="00455A8D">
        <w:t>moralizatorskim pouczaniem wierzących bez odniesienie tego do wydarzeń zbawczych i Bożego planu miłości wobec każdego z nas. Homilia nie jest również zasadniczo przeznaczona do prezentowania</w:t>
      </w:r>
      <w:r w:rsidR="004F3AE8">
        <w:t xml:space="preserve"> swoich przekonań politycznych, przy czym może poruszać tematykę życia społecznego, w którym uczestniczy zgromadzona wspólnota. Istotne jest, aby te odniesienia wynikały z wysłuchanego przed chwilą Bożego Słowa, a nie były jedynie abstrakcyjnym traktatem nie mającym żadnego odniesienia do</w:t>
      </w:r>
      <w:r w:rsidR="00B74E0E">
        <w:t xml:space="preserve"> sprawowanej tajemnicy</w:t>
      </w:r>
      <w:r w:rsidR="004F3AE8">
        <w:t>.</w:t>
      </w:r>
    </w:p>
    <w:p w:rsidR="00F413DA" w:rsidRDefault="00B74E0E" w:rsidP="006A5F89">
      <w:r>
        <w:t>Ogólne wprowadzenie do mszału, jak i biskupi zgromadzeni na Synodzie zachęcają</w:t>
      </w:r>
      <w:r w:rsidR="00830B7D">
        <w:t xml:space="preserve">, aby również w inne dni, gdy jest sprawowana msza św. z udziałem ludu wygłaszać </w:t>
      </w:r>
      <w:r>
        <w:t>choćby krótki</w:t>
      </w:r>
      <w:r w:rsidR="00830B7D">
        <w:t>e</w:t>
      </w:r>
      <w:r>
        <w:t xml:space="preserve"> refleksj</w:t>
      </w:r>
      <w:r w:rsidR="00830B7D">
        <w:t>e</w:t>
      </w:r>
      <w:r>
        <w:t xml:space="preserve"> na temat wysłuchanego Słowa Bożego, </w:t>
      </w:r>
      <w:r w:rsidR="00830B7D">
        <w:t>dostosowane do sytuacji, aby wierni mogli przyjąć usłyszane słowo i by wydało ono owoce. Należałby to czynić</w:t>
      </w:r>
      <w:r w:rsidR="006A5F89">
        <w:t xml:space="preserve"> zwłaszcza w dni powszedni</w:t>
      </w:r>
      <w:r w:rsidR="00830B7D">
        <w:t>e</w:t>
      </w:r>
      <w:r w:rsidR="006A5F89">
        <w:t xml:space="preserve"> Adwentu, Wielkiego Postu i Okresu Wielkanocnego, a także w inn</w:t>
      </w:r>
      <w:r w:rsidR="00830B7D">
        <w:t>e</w:t>
      </w:r>
      <w:r w:rsidR="006A5F89">
        <w:t xml:space="preserve"> dni</w:t>
      </w:r>
      <w:r w:rsidR="00830B7D">
        <w:t>e</w:t>
      </w:r>
      <w:r w:rsidR="006A5F89">
        <w:t xml:space="preserve"> świąteczn</w:t>
      </w:r>
      <w:r w:rsidR="00830B7D">
        <w:t>e</w:t>
      </w:r>
      <w:r w:rsidR="006A5F89">
        <w:t xml:space="preserve"> i przy innych okazjach, w których wierni l</w:t>
      </w:r>
      <w:r w:rsidR="00830B7D">
        <w:t>iczniej gromadzą się w kościele.</w:t>
      </w:r>
      <w:r w:rsidR="00830B7D">
        <w:rPr>
          <w:rStyle w:val="Funotenzeichen"/>
        </w:rPr>
        <w:footnoteReference w:id="27"/>
      </w:r>
    </w:p>
    <w:p w:rsidR="00B74E0E" w:rsidRDefault="00B74E0E" w:rsidP="00B74E0E">
      <w:r>
        <w:t>Przepowiadaniu Słowa Bożego powinno również towarzyszyć świadectwo własnego życia.</w:t>
      </w:r>
      <w:r>
        <w:rPr>
          <w:rStyle w:val="Funotenzeichen"/>
        </w:rPr>
        <w:footnoteReference w:id="28"/>
      </w:r>
    </w:p>
    <w:p w:rsidR="002D417F" w:rsidRDefault="002D417F"/>
    <w:p w:rsidR="002D417F" w:rsidRPr="00366BAB" w:rsidRDefault="00366BAB">
      <w:pPr>
        <w:rPr>
          <w:b/>
        </w:rPr>
      </w:pPr>
      <w:r w:rsidRPr="00366BAB">
        <w:rPr>
          <w:b/>
        </w:rPr>
        <w:t>Milczenie</w:t>
      </w:r>
    </w:p>
    <w:p w:rsidR="002D417F" w:rsidRPr="006A5F89" w:rsidRDefault="006A5F89">
      <w:pPr>
        <w:rPr>
          <w:i/>
        </w:rPr>
      </w:pPr>
      <w:r w:rsidRPr="006A5F89">
        <w:rPr>
          <w:i/>
        </w:rPr>
        <w:t>Liturgię słowa należy sprawować tak, aby sprzyjała medy</w:t>
      </w:r>
      <w:r w:rsidR="000F4A21">
        <w:rPr>
          <w:i/>
        </w:rPr>
        <w:t>tacji. Dlatego trzeba unikać ja</w:t>
      </w:r>
      <w:r w:rsidRPr="006A5F89">
        <w:rPr>
          <w:i/>
        </w:rPr>
        <w:t xml:space="preserve">kiegokolwiek pośpiechu, który utrudniałby skupienie. Stosowne są w niej także odpowiednie do poziomu zgromadzenia krótkie chwile milczenia, w których wierni pod wpływem Ducha Świętego </w:t>
      </w:r>
      <w:r w:rsidRPr="006A5F89">
        <w:rPr>
          <w:i/>
        </w:rPr>
        <w:lastRenderedPageBreak/>
        <w:t>mogliby przyjąć słowo sercem i przygotować na nie odpowiedź przez modlitwę. Te chwile ciszy można z pożytkiem zachować np. przed samym rozpoczęciem liturgii słowa, po pierwszym i drugim czytaniu oraz po homilii.</w:t>
      </w:r>
      <w:r>
        <w:rPr>
          <w:rStyle w:val="Funotenzeichen"/>
          <w:i/>
        </w:rPr>
        <w:footnoteReference w:id="29"/>
      </w:r>
    </w:p>
    <w:p w:rsidR="002D417F" w:rsidRDefault="002D417F"/>
    <w:p w:rsidR="002D417F" w:rsidRPr="00366BAB" w:rsidRDefault="00366BAB">
      <w:pPr>
        <w:rPr>
          <w:b/>
        </w:rPr>
      </w:pPr>
      <w:r w:rsidRPr="00366BAB">
        <w:rPr>
          <w:b/>
        </w:rPr>
        <w:t>Wyznanie wiary</w:t>
      </w:r>
    </w:p>
    <w:p w:rsidR="005628C7" w:rsidRPr="009D7569" w:rsidRDefault="005628C7" w:rsidP="005628C7">
      <w:pPr>
        <w:pStyle w:val="Textkrper2"/>
        <w:spacing w:before="0"/>
        <w:ind w:firstLine="284"/>
        <w:rPr>
          <w:i/>
          <w:sz w:val="22"/>
        </w:rPr>
      </w:pPr>
      <w:r w:rsidRPr="009D7569">
        <w:rPr>
          <w:i/>
          <w:sz w:val="22"/>
        </w:rPr>
        <w:t>Symbol, czyli wyznanie wiary, zmierza do tego, aby cały lud zgromadzony dał odpowiedź na słowo Boże zwiastowane w czytaniach Pisma świętego i wyjaśnione w homilii oraz przez wypowiedzenie reguły wiary według formuły zatwierdzonej do użytku liturgicznego przypomniał sobie i uczcił wielkie misteria wiary przed rozpoczęciem ich celebracji w Eucharystii.</w:t>
      </w:r>
    </w:p>
    <w:p w:rsidR="005628C7" w:rsidRPr="009D7569" w:rsidRDefault="005628C7" w:rsidP="005628C7">
      <w:pPr>
        <w:pStyle w:val="Textkrper2"/>
        <w:spacing w:before="0"/>
        <w:ind w:firstLine="284"/>
        <w:rPr>
          <w:i/>
          <w:sz w:val="22"/>
        </w:rPr>
      </w:pPr>
      <w:r w:rsidRPr="009D7569">
        <w:rPr>
          <w:i/>
          <w:sz w:val="22"/>
        </w:rPr>
        <w:t>Symbol winien być śpiewany lub recytowany przez kapłana i lud w niedziele i uroczystości; można go wykonać także z okazji szczególnie uroczystych celebracji.</w:t>
      </w:r>
    </w:p>
    <w:p w:rsidR="005628C7" w:rsidRPr="009D7569" w:rsidRDefault="005628C7" w:rsidP="005628C7">
      <w:pPr>
        <w:ind w:firstLine="284"/>
        <w:rPr>
          <w:i/>
        </w:rPr>
      </w:pPr>
      <w:r w:rsidRPr="009D7569">
        <w:rPr>
          <w:i/>
        </w:rPr>
        <w:t xml:space="preserve">Jeśli wyznanie wiary jest śpiewane, intonuje je kapłan albo zależnie od okoliczności kantor lub schola; śpiewają zaś wszyscy razem albo lud na przemian ze scholą. </w:t>
      </w:r>
    </w:p>
    <w:p w:rsidR="005628C7" w:rsidRPr="009D7569" w:rsidRDefault="005628C7" w:rsidP="005628C7">
      <w:pPr>
        <w:ind w:firstLine="284"/>
        <w:rPr>
          <w:i/>
        </w:rPr>
      </w:pPr>
      <w:r w:rsidRPr="009D7569">
        <w:rPr>
          <w:i/>
        </w:rPr>
        <w:t>Jeśli się go nie śpiewa, winni go recytować wszyscy razem albo na przemian z podziałem na dwa chóry.</w:t>
      </w:r>
      <w:r w:rsidRPr="009D7569">
        <w:rPr>
          <w:rStyle w:val="Funotenzeichen"/>
          <w:i/>
        </w:rPr>
        <w:footnoteReference w:id="30"/>
      </w:r>
    </w:p>
    <w:p w:rsidR="002D417F" w:rsidRDefault="005628C7">
      <w:r>
        <w:t xml:space="preserve">Świadome i uważne odmawianie wyznania wiary staje się szczególnie istotne w przeżywanym obecnie </w:t>
      </w:r>
      <w:r w:rsidR="004F2A95">
        <w:t xml:space="preserve">Roku </w:t>
      </w:r>
      <w:r>
        <w:t>wiary.</w:t>
      </w:r>
      <w:r w:rsidR="004F2A95">
        <w:t xml:space="preserve"> Ojciec św. Benedykt XVI w swoim liście apostolskim „Portafiedei” zachęca nas do odkrywania </w:t>
      </w:r>
      <w:r w:rsidR="004F2A95" w:rsidRPr="004F2A95">
        <w:t xml:space="preserve">w tym Roku </w:t>
      </w:r>
      <w:r w:rsidR="004F2A95">
        <w:t>na nowo treści wiary</w:t>
      </w:r>
      <w:r w:rsidR="004F2A95" w:rsidRPr="004F2A95">
        <w:t>, którą wyznaje</w:t>
      </w:r>
      <w:r w:rsidR="004F2A95">
        <w:t>my</w:t>
      </w:r>
      <w:r w:rsidR="004F2A95" w:rsidRPr="004F2A95">
        <w:t>, celebruje</w:t>
      </w:r>
      <w:r w:rsidR="004F2A95">
        <w:t>my</w:t>
      </w:r>
      <w:r w:rsidR="004F2A95" w:rsidRPr="004F2A95">
        <w:t>, przeżywa</w:t>
      </w:r>
      <w:r w:rsidR="004F2A95">
        <w:t>my</w:t>
      </w:r>
      <w:r w:rsidR="004F2A95" w:rsidRPr="004F2A95">
        <w:t xml:space="preserve"> i przemadla</w:t>
      </w:r>
      <w:r w:rsidR="004F2A95">
        <w:t>myoraz do</w:t>
      </w:r>
      <w:r w:rsidR="004F2A95" w:rsidRPr="004F2A95">
        <w:t xml:space="preserve"> zastan</w:t>
      </w:r>
      <w:r w:rsidR="004F2A95">
        <w:t>a</w:t>
      </w:r>
      <w:r w:rsidR="004F2A95" w:rsidRPr="004F2A95">
        <w:t>wi</w:t>
      </w:r>
      <w:r w:rsidR="004F2A95">
        <w:t xml:space="preserve">ania </w:t>
      </w:r>
      <w:r w:rsidR="004F2A95" w:rsidRPr="004F2A95">
        <w:t>się nad samym aktem wiary.</w:t>
      </w:r>
      <w:r w:rsidR="004F2A95">
        <w:rPr>
          <w:rStyle w:val="Funotenzeichen"/>
        </w:rPr>
        <w:footnoteReference w:id="31"/>
      </w:r>
    </w:p>
    <w:p w:rsidR="002D417F" w:rsidRPr="00BC10B4" w:rsidRDefault="00BC10B4">
      <w:r>
        <w:t xml:space="preserve">Wyznanie wiary </w:t>
      </w:r>
      <w:r w:rsidRPr="00BC10B4">
        <w:t>składa się zaledwie z trzech głównych części i – jak wynika z jego historii – jest po prostu rozszerzeniem formuły chrzcielnej, którą sam zmartwychwstały Pan podarował swoim uczniom na wszystkie czasy.</w:t>
      </w:r>
      <w:r>
        <w:t xml:space="preserve"> (…) </w:t>
      </w:r>
      <w:r w:rsidRPr="00BC10B4">
        <w:t xml:space="preserve">Nie jest </w:t>
      </w:r>
      <w:r>
        <w:t xml:space="preserve">ono </w:t>
      </w:r>
      <w:r w:rsidRPr="00BC10B4">
        <w:t>zestawem orzeczeń, teorią. Jest natomiast zakotwiczone w wydarzeniu chrztu, w wydarzeniu spotkania Boga i człowieka</w:t>
      </w:r>
      <w:r>
        <w:t xml:space="preserve"> (…) Wyznanie wiary </w:t>
      </w:r>
      <w:r w:rsidRPr="00BC10B4">
        <w:t xml:space="preserve">nie jest chłodnym potwierdzeniem abstrakcyjnych prawd, lecz radosną proklamacją spotkania z żywym </w:t>
      </w:r>
      <w:r>
        <w:t>Bogiem.</w:t>
      </w:r>
      <w:r w:rsidR="004A2671">
        <w:rPr>
          <w:rStyle w:val="Funotenzeichen"/>
        </w:rPr>
        <w:footnoteReference w:id="32"/>
      </w:r>
    </w:p>
    <w:p w:rsidR="00BC10B4" w:rsidRDefault="005A05DB">
      <w:r>
        <w:t>Wyznanie wiary</w:t>
      </w:r>
      <w:r w:rsidR="004A2671" w:rsidRPr="004A2671">
        <w:t xml:space="preserve">, które wypowiadamy w kontekście niedzielnej liturgii eucharystycznej, nie </w:t>
      </w:r>
      <w:r>
        <w:t xml:space="preserve">jest </w:t>
      </w:r>
      <w:r w:rsidR="004A2671" w:rsidRPr="004A2671">
        <w:t xml:space="preserve">serią recytowanych mechanicznie zdań. </w:t>
      </w:r>
      <w:r>
        <w:t>Ma ono</w:t>
      </w:r>
      <w:r w:rsidR="004A2671" w:rsidRPr="004A2671">
        <w:t xml:space="preserve"> charakter doksologii</w:t>
      </w:r>
      <w:r>
        <w:t xml:space="preserve"> czyli modlitwy uwielbienia Boga</w:t>
      </w:r>
      <w:r w:rsidR="004A2671" w:rsidRPr="004A2671">
        <w:t>. Należy je wypowiadać lub wyśpiewywać jako obrazy złożone z pojęć.</w:t>
      </w:r>
      <w:r w:rsidR="00964661">
        <w:rPr>
          <w:rStyle w:val="Funotenzeichen"/>
        </w:rPr>
        <w:footnoteReference w:id="33"/>
      </w:r>
    </w:p>
    <w:p w:rsidR="00964661" w:rsidRDefault="00964661" w:rsidP="009D7569">
      <w:r>
        <w:t>W tym Roku wiary jesteśmy zaproszeni do nauczenia się na pamięć wyznania wiary tak, aby stało się ono naszą codzienną modlitwą</w:t>
      </w:r>
      <w:r w:rsidR="009D7569">
        <w:t xml:space="preserve"> i abyśmy mogli „oddychać wiarą”.</w:t>
      </w:r>
      <w:r w:rsidR="009D7569">
        <w:rPr>
          <w:rStyle w:val="Funotenzeichen"/>
        </w:rPr>
        <w:footnoteReference w:id="34"/>
      </w:r>
      <w:r w:rsidR="009D7569" w:rsidRPr="009D7569">
        <w:rPr>
          <w:iCs/>
        </w:rPr>
        <w:t>Wyznanie wiary</w:t>
      </w:r>
      <w:r w:rsidR="009D7569">
        <w:t xml:space="preserve"> jako modlitwa pomaga również z większym impetem wejść na drogę wiary</w:t>
      </w:r>
      <w:r>
        <w:t>. Wymaga bowiem coraz lepszego poznawania Tego, kogo się kocha, a tak właśnie można się stać heroldem nowej ewangelizacji. Jest ważne, a nawet decydujące, aby innym udostępniać radość z własnego spotkania z Chrystusem. Radość z tego, że uwierzyło się w Jego słowo, które zmienia życie.</w:t>
      </w:r>
      <w:r w:rsidR="009D7569">
        <w:rPr>
          <w:rStyle w:val="Funotenzeichen"/>
        </w:rPr>
        <w:footnoteReference w:id="35"/>
      </w:r>
    </w:p>
    <w:p w:rsidR="00BC10B4" w:rsidRDefault="00BC10B4"/>
    <w:p w:rsidR="002D417F" w:rsidRPr="00366BAB" w:rsidRDefault="00366BAB">
      <w:pPr>
        <w:rPr>
          <w:b/>
        </w:rPr>
      </w:pPr>
      <w:r w:rsidRPr="00366BAB">
        <w:rPr>
          <w:b/>
        </w:rPr>
        <w:t>Modlitwa wiernych</w:t>
      </w:r>
    </w:p>
    <w:p w:rsidR="000C0EDE" w:rsidRPr="00260A14" w:rsidRDefault="00260A14" w:rsidP="00260A14">
      <w:r>
        <w:t xml:space="preserve">Liturgię słowa kończy modlitwa powszechna inaczej nazywana modlitwą wiernych. W ciągu minionych wieków chrześcijaństwa została ona wycofana z mszy św., dlatego też Sobór Watykański II </w:t>
      </w:r>
      <w:r w:rsidR="00B559F7">
        <w:t>nakazał jej przywrócenie</w:t>
      </w:r>
      <w:r w:rsidR="009D7569">
        <w:t xml:space="preserve"> zwłaszcza w niedziele i święta nakazane, </w:t>
      </w:r>
      <w:r w:rsidR="000C0EDE" w:rsidRPr="000C0EDE">
        <w:rPr>
          <w:i/>
          <w:iCs/>
        </w:rPr>
        <w:t>aby z udziałem ludu zanoszone były błagania za Kościół święty, za tych, którzy nami rządzą, za tych, którzy znajdują się w różnych potrzebach, za wszystkich ludzi i o zbawienie całego świata.</w:t>
      </w:r>
      <w:r>
        <w:rPr>
          <w:rStyle w:val="Funotenzeichen"/>
        </w:rPr>
        <w:footnoteReference w:id="36"/>
      </w:r>
    </w:p>
    <w:p w:rsidR="000C0EDE" w:rsidRDefault="00B559F7">
      <w:r>
        <w:t xml:space="preserve">Modlitwa ta jest wyrazem wiary całego Kościoła, potwierdzeniem udziału wiernych w powszechnym kapłaństwie Chrystusa a także odpowiedzią wierzących na usłyszane Słowo Boże. </w:t>
      </w:r>
      <w:r>
        <w:lastRenderedPageBreak/>
        <w:t>Dlatego też w jej przygotowaniu należy zwrócić uwagę na to, by miała ona łączność z czytaniami i homilią (o ile to możliwe w przypadku tej ostatniej), nie była zaś od nich oderwana.</w:t>
      </w:r>
    </w:p>
    <w:p w:rsidR="00260A14" w:rsidRDefault="004966F1">
      <w:r>
        <w:t>Ogólne wprowadzenie do mszału podaje cztery rodzaje intencji, które powinna zawierać modlitwa powszechna:</w:t>
      </w:r>
    </w:p>
    <w:p w:rsidR="00260A14" w:rsidRPr="004966F1" w:rsidRDefault="00260A14" w:rsidP="00260A14">
      <w:pPr>
        <w:rPr>
          <w:i/>
        </w:rPr>
      </w:pPr>
      <w:r w:rsidRPr="004966F1">
        <w:rPr>
          <w:i/>
        </w:rPr>
        <w:t>a)</w:t>
      </w:r>
      <w:r w:rsidRPr="004966F1">
        <w:rPr>
          <w:i/>
        </w:rPr>
        <w:tab/>
        <w:t>w potrzebach Kościoła,</w:t>
      </w:r>
    </w:p>
    <w:p w:rsidR="00260A14" w:rsidRPr="004966F1" w:rsidRDefault="00260A14" w:rsidP="00260A14">
      <w:pPr>
        <w:rPr>
          <w:i/>
        </w:rPr>
      </w:pPr>
      <w:r w:rsidRPr="004966F1">
        <w:rPr>
          <w:i/>
        </w:rPr>
        <w:t>b)</w:t>
      </w:r>
      <w:r w:rsidRPr="004966F1">
        <w:rPr>
          <w:i/>
        </w:rPr>
        <w:tab/>
        <w:t>za rządzących państwami i o zbawienie całego świata,</w:t>
      </w:r>
    </w:p>
    <w:p w:rsidR="00260A14" w:rsidRPr="004966F1" w:rsidRDefault="00260A14" w:rsidP="00260A14">
      <w:pPr>
        <w:rPr>
          <w:i/>
        </w:rPr>
      </w:pPr>
      <w:r w:rsidRPr="004966F1">
        <w:rPr>
          <w:i/>
        </w:rPr>
        <w:t>c)</w:t>
      </w:r>
      <w:r w:rsidRPr="004966F1">
        <w:rPr>
          <w:i/>
        </w:rPr>
        <w:tab/>
        <w:t>za ludzi doświadczonych różnymi trudnościami,</w:t>
      </w:r>
    </w:p>
    <w:p w:rsidR="00260A14" w:rsidRPr="004966F1" w:rsidRDefault="00260A14" w:rsidP="00260A14">
      <w:pPr>
        <w:rPr>
          <w:i/>
        </w:rPr>
      </w:pPr>
      <w:r w:rsidRPr="004966F1">
        <w:rPr>
          <w:i/>
        </w:rPr>
        <w:t>d)</w:t>
      </w:r>
      <w:r w:rsidRPr="004966F1">
        <w:rPr>
          <w:i/>
        </w:rPr>
        <w:tab/>
        <w:t>za miejscową wspólnotę.</w:t>
      </w:r>
    </w:p>
    <w:p w:rsidR="00260A14" w:rsidRPr="004966F1" w:rsidRDefault="00260A14" w:rsidP="00260A14">
      <w:pPr>
        <w:rPr>
          <w:i/>
        </w:rPr>
      </w:pPr>
    </w:p>
    <w:p w:rsidR="00260A14" w:rsidRPr="004966F1" w:rsidRDefault="00260A14" w:rsidP="00260A14">
      <w:pPr>
        <w:rPr>
          <w:i/>
        </w:rPr>
      </w:pPr>
      <w:r w:rsidRPr="004966F1">
        <w:rPr>
          <w:i/>
        </w:rPr>
        <w:t>W celebracjach odbywających się w szczególnych okolicznościach, jak bierzmowanie, małżeństwo, pogrzeb, porządek intencji może bardziej uwz</w:t>
      </w:r>
      <w:r w:rsidR="004966F1">
        <w:rPr>
          <w:i/>
        </w:rPr>
        <w:t>ględniać określoną okoliczność.</w:t>
      </w:r>
      <w:r w:rsidR="004966F1">
        <w:rPr>
          <w:rStyle w:val="Funotenzeichen"/>
          <w:i/>
        </w:rPr>
        <w:footnoteReference w:id="37"/>
      </w:r>
    </w:p>
    <w:p w:rsidR="00260A14" w:rsidRDefault="00260A14" w:rsidP="00260A14"/>
    <w:p w:rsidR="00260A14" w:rsidRDefault="00260A14" w:rsidP="00260A14">
      <w:r>
        <w:t xml:space="preserve">71. </w:t>
      </w:r>
      <w:r w:rsidR="004966F1">
        <w:t>Kapłan przewodniczący liturgii</w:t>
      </w:r>
      <w:r>
        <w:t xml:space="preserve"> kieruje modlitwą, stojąc w miejscu przewodniczenia. Rozpoczyna ją krótką zachętą, w której wzywa wiernych do modlitwy o</w:t>
      </w:r>
      <w:r w:rsidR="004966F1">
        <w:t>raz wypowiada modlitwę na zakoń</w:t>
      </w:r>
      <w:r>
        <w:t xml:space="preserve">czenie. Proponowane intencje </w:t>
      </w:r>
      <w:r w:rsidR="004966F1">
        <w:t>nie powinny być liczne (w Polsce przyjęto zasadę, że nie powinno ich być więcej niż sześć)</w:t>
      </w:r>
      <w:r>
        <w:t>,</w:t>
      </w:r>
      <w:r w:rsidR="004966F1">
        <w:t xml:space="preserve"> powinny być</w:t>
      </w:r>
      <w:r>
        <w:t xml:space="preserve"> ułożone w duchu mądrej wolności, zwięzłe i wyrażające błagania całej wspólnoty.</w:t>
      </w:r>
    </w:p>
    <w:p w:rsidR="00260A14" w:rsidRDefault="00260A14" w:rsidP="00260A14">
      <w:r>
        <w:t>Wezwania wygłasza diakon lub kantor albo lektor lub inny wierny świecki , stojący przy ambonie lub w innym odpowiednim miejscu.</w:t>
      </w:r>
    </w:p>
    <w:p w:rsidR="00260A14" w:rsidRDefault="00260A14" w:rsidP="00260A14">
      <w:r>
        <w:t>Lud zaś, stojąc, przyłącza się do modlitwy albo przez wspólne wezwanie wypowiadane po każdej intencji, albo przez modlitwę w milczeniu.</w:t>
      </w:r>
    </w:p>
    <w:p w:rsidR="00614CB3" w:rsidRDefault="00614CB3" w:rsidP="00260A14"/>
    <w:p w:rsidR="00614CB3" w:rsidRDefault="00614CB3" w:rsidP="00260A14"/>
    <w:p w:rsidR="00614CB3" w:rsidRDefault="00614CB3" w:rsidP="00260A14"/>
    <w:p w:rsidR="00614CB3" w:rsidRDefault="00614CB3" w:rsidP="00260A14">
      <w:r>
        <w:t>Serdecznie zaprasza na nasze następne spotkanie w dniu 10.02.2013 r. Ewentualne pytania można kierować również na adres internetowy:s.m.iwona@gmail.com lub też stawiać osobiście po spotkaniu czy też przy innej okazji.</w:t>
      </w:r>
    </w:p>
    <w:sectPr w:rsidR="00614CB3" w:rsidSect="009848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9BF" w:rsidRDefault="002A29BF" w:rsidP="002E0FC3">
      <w:r>
        <w:separator/>
      </w:r>
    </w:p>
  </w:endnote>
  <w:endnote w:type="continuationSeparator" w:id="1">
    <w:p w:rsidR="002A29BF" w:rsidRDefault="002A29BF" w:rsidP="002E0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23316"/>
      <w:docPartObj>
        <w:docPartGallery w:val="Page Numbers (Bottom of Page)"/>
        <w:docPartUnique/>
      </w:docPartObj>
    </w:sdtPr>
    <w:sdtContent>
      <w:p w:rsidR="005A2AC3" w:rsidRDefault="009848E9" w:rsidP="005A2AC3">
        <w:pPr>
          <w:pStyle w:val="Fuzeile"/>
          <w:jc w:val="right"/>
        </w:pPr>
        <w:r w:rsidRPr="005A2AC3">
          <w:rPr>
            <w:sz w:val="20"/>
          </w:rPr>
          <w:fldChar w:fldCharType="begin"/>
        </w:r>
        <w:r w:rsidR="005A2AC3" w:rsidRPr="005A2AC3">
          <w:rPr>
            <w:sz w:val="20"/>
          </w:rPr>
          <w:instrText>PAGE   \* MERGEFORMAT</w:instrText>
        </w:r>
        <w:r w:rsidRPr="005A2AC3">
          <w:rPr>
            <w:sz w:val="20"/>
          </w:rPr>
          <w:fldChar w:fldCharType="separate"/>
        </w:r>
        <w:r w:rsidR="00B24CAE">
          <w:rPr>
            <w:noProof/>
            <w:sz w:val="20"/>
          </w:rPr>
          <w:t>1</w:t>
        </w:r>
        <w:r w:rsidRPr="005A2AC3">
          <w:rPr>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9BF" w:rsidRDefault="002A29BF" w:rsidP="002E0FC3">
      <w:r>
        <w:separator/>
      </w:r>
    </w:p>
  </w:footnote>
  <w:footnote w:type="continuationSeparator" w:id="1">
    <w:p w:rsidR="002A29BF" w:rsidRDefault="002A29BF" w:rsidP="002E0FC3">
      <w:r>
        <w:continuationSeparator/>
      </w:r>
    </w:p>
  </w:footnote>
  <w:footnote w:id="2">
    <w:p w:rsidR="002E0FC3" w:rsidRDefault="002E0FC3">
      <w:pPr>
        <w:pStyle w:val="Funotentext"/>
      </w:pPr>
      <w:r>
        <w:rPr>
          <w:rStyle w:val="Funotenzeichen"/>
        </w:rPr>
        <w:footnoteRef/>
      </w:r>
      <w:r>
        <w:t xml:space="preserve"> Por.</w:t>
      </w:r>
      <w:r w:rsidR="00EC6697">
        <w:t xml:space="preserve"> KL 50.</w:t>
      </w:r>
    </w:p>
  </w:footnote>
  <w:footnote w:id="3">
    <w:p w:rsidR="00EC6697" w:rsidRDefault="00EC6697">
      <w:pPr>
        <w:pStyle w:val="Funotentext"/>
      </w:pPr>
      <w:r>
        <w:rPr>
          <w:rStyle w:val="Funotenzeichen"/>
        </w:rPr>
        <w:footnoteRef/>
      </w:r>
      <w:r>
        <w:t xml:space="preserve"> Por. KL 51.</w:t>
      </w:r>
    </w:p>
  </w:footnote>
  <w:footnote w:id="4">
    <w:p w:rsidR="00D33221" w:rsidRDefault="00D33221" w:rsidP="00D33221">
      <w:pPr>
        <w:pStyle w:val="Funotentext"/>
      </w:pPr>
      <w:r>
        <w:rPr>
          <w:rStyle w:val="Funotenzeichen"/>
        </w:rPr>
        <w:footnoteRef/>
      </w:r>
      <w:r>
        <w:t xml:space="preserve"> OWMR 55.</w:t>
      </w:r>
    </w:p>
  </w:footnote>
  <w:footnote w:id="5">
    <w:p w:rsidR="00E21027" w:rsidRPr="00030949" w:rsidRDefault="00E21027">
      <w:pPr>
        <w:pStyle w:val="Funotentext"/>
      </w:pPr>
      <w:r>
        <w:rPr>
          <w:rStyle w:val="Funotenzeichen"/>
        </w:rPr>
        <w:footnoteRef/>
      </w:r>
      <w:r w:rsidR="00A167F1">
        <w:rPr>
          <w:i/>
        </w:rPr>
        <w:t>Verbum Domini</w:t>
      </w:r>
      <w:r w:rsidR="00A167F1">
        <w:t xml:space="preserve">, </w:t>
      </w:r>
      <w:r w:rsidR="00030949">
        <w:t>Adhortacja apostolska</w:t>
      </w:r>
      <w:r w:rsidR="00A167F1">
        <w:t xml:space="preserve"> Benedykta XVI,</w:t>
      </w:r>
      <w:r w:rsidR="00030949">
        <w:t xml:space="preserve"> o </w:t>
      </w:r>
      <w:r w:rsidR="00A167F1">
        <w:t>Słowie Bożym w życiu i misji Kościoła, Pallottinum 2010, 52 (dalej cytowana jako VD).</w:t>
      </w:r>
    </w:p>
  </w:footnote>
  <w:footnote w:id="6">
    <w:p w:rsidR="0027763C" w:rsidRDefault="0027763C">
      <w:pPr>
        <w:pStyle w:val="Funotentext"/>
      </w:pPr>
      <w:r>
        <w:rPr>
          <w:rStyle w:val="Funotenzeichen"/>
        </w:rPr>
        <w:footnoteRef/>
      </w:r>
      <w:r>
        <w:t xml:space="preserve"> VD 55.</w:t>
      </w:r>
    </w:p>
  </w:footnote>
  <w:footnote w:id="7">
    <w:p w:rsidR="007F66F7" w:rsidRPr="007F66F7" w:rsidRDefault="007F66F7">
      <w:pPr>
        <w:pStyle w:val="Funotentext"/>
      </w:pPr>
      <w:r>
        <w:rPr>
          <w:rStyle w:val="Funotenzeichen"/>
        </w:rPr>
        <w:footnoteRef/>
      </w:r>
      <w:r>
        <w:t xml:space="preserve"> Por. R. Hajduk, </w:t>
      </w:r>
      <w:r>
        <w:rPr>
          <w:i/>
        </w:rPr>
        <w:t xml:space="preserve">Liturgia słowa jako anamneza wydarzeń zbawczych celebrowanych w Eucharystii, </w:t>
      </w:r>
      <w:r>
        <w:t xml:space="preserve">w: </w:t>
      </w:r>
      <w:r>
        <w:rPr>
          <w:i/>
        </w:rPr>
        <w:t xml:space="preserve">Misterium Eucharystii, teologia – liturgia – ekumenizm, Encyklika Jana Pawła II Ecclesia de Eucharistia, </w:t>
      </w:r>
      <w:r>
        <w:t xml:space="preserve">red. W. Nowak, Olsztyn 2004, s. </w:t>
      </w:r>
      <w:r w:rsidR="00B6730A">
        <w:t>146-149.</w:t>
      </w:r>
    </w:p>
  </w:footnote>
  <w:footnote w:id="8">
    <w:p w:rsidR="00BE6129" w:rsidRDefault="00BE6129">
      <w:pPr>
        <w:pStyle w:val="Funotentext"/>
      </w:pPr>
      <w:r>
        <w:rPr>
          <w:rStyle w:val="Funotenzeichen"/>
        </w:rPr>
        <w:footnoteRef/>
      </w:r>
      <w:r>
        <w:t xml:space="preserve"> Por. Tamże, s. 149-151.</w:t>
      </w:r>
    </w:p>
  </w:footnote>
  <w:footnote w:id="9">
    <w:p w:rsidR="001E3619" w:rsidRPr="001E3619" w:rsidRDefault="001E3619">
      <w:pPr>
        <w:pStyle w:val="Funotentext"/>
      </w:pPr>
      <w:r>
        <w:rPr>
          <w:rStyle w:val="Funotenzeichen"/>
        </w:rPr>
        <w:footnoteRef/>
      </w:r>
      <w:r>
        <w:t xml:space="preserve"> Por. J. Janicki, </w:t>
      </w:r>
      <w:r>
        <w:rPr>
          <w:i/>
        </w:rPr>
        <w:t xml:space="preserve">Liturgia słowa, </w:t>
      </w:r>
      <w:r>
        <w:t xml:space="preserve">w: </w:t>
      </w:r>
      <w:r>
        <w:rPr>
          <w:i/>
        </w:rPr>
        <w:t xml:space="preserve">Msza św., </w:t>
      </w:r>
      <w:r w:rsidRPr="001E3619">
        <w:t>(Misterium Christi 3), red. W. J. Świerzawski</w:t>
      </w:r>
      <w:r>
        <w:t xml:space="preserve">, Kraków 1992, s. 232; por. także </w:t>
      </w:r>
      <w:r w:rsidR="00077E1E">
        <w:rPr>
          <w:i/>
        </w:rPr>
        <w:t>W</w:t>
      </w:r>
      <w:r w:rsidRPr="001E3619">
        <w:rPr>
          <w:i/>
        </w:rPr>
        <w:t>prowadzenie do lekcjonarza</w:t>
      </w:r>
      <w:r>
        <w:rPr>
          <w:i/>
        </w:rPr>
        <w:t xml:space="preserve"> mszalnego</w:t>
      </w:r>
      <w:r w:rsidR="00077E1E">
        <w:t xml:space="preserve"> (WLM)</w:t>
      </w:r>
      <w:r>
        <w:rPr>
          <w:i/>
        </w:rPr>
        <w:t xml:space="preserve">, </w:t>
      </w:r>
      <w:r w:rsidR="00077E1E">
        <w:t>Pallottinum – Poznań 2011</w:t>
      </w:r>
      <w:r w:rsidR="00077E1E" w:rsidRPr="00077E1E">
        <w:rPr>
          <w:vertAlign w:val="superscript"/>
        </w:rPr>
        <w:t>2</w:t>
      </w:r>
      <w:r w:rsidR="00910C68">
        <w:t>5.</w:t>
      </w:r>
    </w:p>
  </w:footnote>
  <w:footnote w:id="10">
    <w:p w:rsidR="0095639E" w:rsidRPr="001328CF" w:rsidRDefault="0095639E">
      <w:pPr>
        <w:pStyle w:val="Funotentext"/>
      </w:pPr>
      <w:r>
        <w:rPr>
          <w:rStyle w:val="Funotenzeichen"/>
        </w:rPr>
        <w:footnoteRef/>
      </w:r>
      <w:r w:rsidRPr="001328CF">
        <w:t xml:space="preserve"> WLM 60.</w:t>
      </w:r>
    </w:p>
  </w:footnote>
  <w:footnote w:id="11">
    <w:p w:rsidR="0095639E" w:rsidRPr="001328CF" w:rsidRDefault="0095639E">
      <w:pPr>
        <w:pStyle w:val="Funotentext"/>
      </w:pPr>
      <w:r>
        <w:rPr>
          <w:rStyle w:val="Funotenzeichen"/>
        </w:rPr>
        <w:footnoteRef/>
      </w:r>
      <w:r w:rsidRPr="001328CF">
        <w:t xml:space="preserve"> WLM 66.</w:t>
      </w:r>
    </w:p>
  </w:footnote>
  <w:footnote w:id="12">
    <w:p w:rsidR="0095639E" w:rsidRDefault="0095639E">
      <w:pPr>
        <w:pStyle w:val="Funotentext"/>
      </w:pPr>
      <w:r>
        <w:rPr>
          <w:rStyle w:val="Funotenzeichen"/>
        </w:rPr>
        <w:footnoteRef/>
      </w:r>
      <w:r>
        <w:t xml:space="preserve"> Por. przypis 102, do WLM 66.</w:t>
      </w:r>
    </w:p>
  </w:footnote>
  <w:footnote w:id="13">
    <w:p w:rsidR="00072B0B" w:rsidRPr="00727C1D" w:rsidRDefault="00072B0B">
      <w:pPr>
        <w:pStyle w:val="Funotentext"/>
        <w:rPr>
          <w:lang w:val="en-US"/>
        </w:rPr>
      </w:pPr>
      <w:r>
        <w:rPr>
          <w:rStyle w:val="Funotenzeichen"/>
        </w:rPr>
        <w:footnoteRef/>
      </w:r>
      <w:r w:rsidRPr="00727C1D">
        <w:rPr>
          <w:lang w:val="en-US"/>
        </w:rPr>
        <w:t xml:space="preserve"> WLM 67.</w:t>
      </w:r>
    </w:p>
  </w:footnote>
  <w:footnote w:id="14">
    <w:p w:rsidR="00072B0B" w:rsidRPr="0095639E" w:rsidRDefault="00072B0B" w:rsidP="00072B0B">
      <w:pPr>
        <w:pStyle w:val="Funotentext"/>
        <w:rPr>
          <w:lang w:val="en-US"/>
        </w:rPr>
      </w:pPr>
      <w:r>
        <w:rPr>
          <w:rStyle w:val="Funotenzeichen"/>
        </w:rPr>
        <w:footnoteRef/>
      </w:r>
      <w:r w:rsidR="00727C1D">
        <w:rPr>
          <w:lang w:val="en-US"/>
        </w:rPr>
        <w:t xml:space="preserve">Por. </w:t>
      </w:r>
      <w:r w:rsidRPr="0095639E">
        <w:rPr>
          <w:lang w:val="en-US"/>
        </w:rPr>
        <w:t>WLM 60.</w:t>
      </w:r>
    </w:p>
  </w:footnote>
  <w:footnote w:id="15">
    <w:p w:rsidR="00727C1D" w:rsidRPr="0095639E" w:rsidRDefault="00727C1D" w:rsidP="00727C1D">
      <w:pPr>
        <w:pStyle w:val="Funotentext"/>
        <w:rPr>
          <w:lang w:val="en-US"/>
        </w:rPr>
      </w:pPr>
      <w:r>
        <w:rPr>
          <w:rStyle w:val="Funotenzeichen"/>
        </w:rPr>
        <w:footnoteRef/>
      </w:r>
      <w:r w:rsidRPr="0095639E">
        <w:rPr>
          <w:lang w:val="en-US"/>
        </w:rPr>
        <w:t xml:space="preserve"> WLM 65.</w:t>
      </w:r>
    </w:p>
  </w:footnote>
  <w:footnote w:id="16">
    <w:p w:rsidR="00077E1E" w:rsidRPr="0095639E" w:rsidRDefault="00077E1E">
      <w:pPr>
        <w:pStyle w:val="Funotentext"/>
        <w:rPr>
          <w:lang w:val="en-US"/>
        </w:rPr>
      </w:pPr>
      <w:r>
        <w:rPr>
          <w:rStyle w:val="Funotenzeichen"/>
        </w:rPr>
        <w:footnoteRef/>
      </w:r>
      <w:r w:rsidRPr="0095639E">
        <w:rPr>
          <w:lang w:val="en-US"/>
        </w:rPr>
        <w:t xml:space="preserve">  WLM 12.</w:t>
      </w:r>
    </w:p>
  </w:footnote>
  <w:footnote w:id="17">
    <w:p w:rsidR="00AF217F" w:rsidRPr="001328CF" w:rsidRDefault="00AF217F">
      <w:pPr>
        <w:pStyle w:val="Funotentext"/>
        <w:rPr>
          <w:lang w:val="en-US"/>
        </w:rPr>
      </w:pPr>
      <w:r>
        <w:rPr>
          <w:rStyle w:val="Funotenzeichen"/>
        </w:rPr>
        <w:footnoteRef/>
      </w:r>
      <w:r w:rsidRPr="001328CF">
        <w:rPr>
          <w:lang w:val="en-US"/>
        </w:rPr>
        <w:t xml:space="preserve"> Por. </w:t>
      </w:r>
      <w:r w:rsidR="00206889" w:rsidRPr="001328CF">
        <w:rPr>
          <w:lang w:val="en-US"/>
        </w:rPr>
        <w:t>WLM 55; VD 58.</w:t>
      </w:r>
    </w:p>
  </w:footnote>
  <w:footnote w:id="18">
    <w:p w:rsidR="005C4735" w:rsidRPr="001328CF" w:rsidRDefault="005C4735">
      <w:pPr>
        <w:pStyle w:val="Funotentext"/>
        <w:rPr>
          <w:lang w:val="en-US"/>
        </w:rPr>
      </w:pPr>
      <w:r>
        <w:rPr>
          <w:rStyle w:val="Funotenzeichen"/>
        </w:rPr>
        <w:footnoteRef/>
      </w:r>
      <w:r w:rsidRPr="001328CF">
        <w:rPr>
          <w:lang w:val="en-US"/>
        </w:rPr>
        <w:t xml:space="preserve"> WLM 17.</w:t>
      </w:r>
    </w:p>
  </w:footnote>
  <w:footnote w:id="19">
    <w:p w:rsidR="00971447" w:rsidRPr="001328CF" w:rsidRDefault="00971447">
      <w:pPr>
        <w:pStyle w:val="Funotentext"/>
        <w:rPr>
          <w:lang w:val="en-US"/>
        </w:rPr>
      </w:pPr>
      <w:r>
        <w:rPr>
          <w:rStyle w:val="Funotenzeichen"/>
        </w:rPr>
        <w:footnoteRef/>
      </w:r>
      <w:r w:rsidRPr="001328CF">
        <w:rPr>
          <w:lang w:val="en-US"/>
        </w:rPr>
        <w:t xml:space="preserve"> OWMR</w:t>
      </w:r>
      <w:r w:rsidRPr="001328CF">
        <w:rPr>
          <w:vertAlign w:val="superscript"/>
          <w:lang w:val="en-US"/>
        </w:rPr>
        <w:t>2002</w:t>
      </w:r>
      <w:r w:rsidRPr="001328CF">
        <w:rPr>
          <w:lang w:val="en-US"/>
        </w:rPr>
        <w:t xml:space="preserve"> 122.</w:t>
      </w:r>
    </w:p>
  </w:footnote>
  <w:footnote w:id="20">
    <w:p w:rsidR="004B7356" w:rsidRPr="001328CF" w:rsidRDefault="004B7356">
      <w:pPr>
        <w:pStyle w:val="Funotentext"/>
        <w:rPr>
          <w:lang w:val="en-US"/>
        </w:rPr>
      </w:pPr>
      <w:r>
        <w:rPr>
          <w:rStyle w:val="Funotenzeichen"/>
        </w:rPr>
        <w:footnoteRef/>
      </w:r>
      <w:r w:rsidRPr="001328CF">
        <w:rPr>
          <w:lang w:val="en-US"/>
        </w:rPr>
        <w:t xml:space="preserve"> Por. WLM 17.</w:t>
      </w:r>
    </w:p>
  </w:footnote>
  <w:footnote w:id="21">
    <w:p w:rsidR="003F13A6" w:rsidRPr="001328CF" w:rsidRDefault="003F13A6">
      <w:pPr>
        <w:pStyle w:val="Funotentext"/>
        <w:rPr>
          <w:lang w:val="en-US"/>
        </w:rPr>
      </w:pPr>
      <w:r>
        <w:rPr>
          <w:rStyle w:val="Funotenzeichen"/>
        </w:rPr>
        <w:footnoteRef/>
      </w:r>
      <w:r w:rsidRPr="001328CF">
        <w:rPr>
          <w:lang w:val="en-US"/>
        </w:rPr>
        <w:t xml:space="preserve"> OWMR </w:t>
      </w:r>
      <w:r w:rsidRPr="001328CF">
        <w:rPr>
          <w:vertAlign w:val="superscript"/>
          <w:lang w:val="en-US"/>
        </w:rPr>
        <w:t>2002</w:t>
      </w:r>
      <w:r w:rsidRPr="001328CF">
        <w:rPr>
          <w:lang w:val="en-US"/>
        </w:rPr>
        <w:t xml:space="preserve"> 309.</w:t>
      </w:r>
    </w:p>
  </w:footnote>
  <w:footnote w:id="22">
    <w:p w:rsidR="006A5F89" w:rsidRPr="006A5F89" w:rsidRDefault="006A5F89">
      <w:pPr>
        <w:pStyle w:val="Funotentext"/>
      </w:pPr>
      <w:r>
        <w:rPr>
          <w:rStyle w:val="Funotenzeichen"/>
        </w:rPr>
        <w:footnoteRef/>
      </w:r>
      <w:r>
        <w:t xml:space="preserve"> OWMR </w:t>
      </w:r>
      <w:r>
        <w:rPr>
          <w:vertAlign w:val="superscript"/>
        </w:rPr>
        <w:t>2002</w:t>
      </w:r>
      <w:r>
        <w:t xml:space="preserve"> 66.</w:t>
      </w:r>
    </w:p>
  </w:footnote>
  <w:footnote w:id="23">
    <w:p w:rsidR="006A5F89" w:rsidRPr="001328CF" w:rsidRDefault="006A5F89" w:rsidP="006A5F89">
      <w:pPr>
        <w:pStyle w:val="Funotentext"/>
        <w:rPr>
          <w:lang w:val="en-US"/>
        </w:rPr>
      </w:pPr>
      <w:r>
        <w:rPr>
          <w:rStyle w:val="Funotenzeichen"/>
        </w:rPr>
        <w:footnoteRef/>
      </w:r>
      <w:r w:rsidRPr="001328CF">
        <w:rPr>
          <w:lang w:val="en-US"/>
        </w:rPr>
        <w:t xml:space="preserve"> WLM 24.</w:t>
      </w:r>
    </w:p>
  </w:footnote>
  <w:footnote w:id="24">
    <w:p w:rsidR="006A5F89" w:rsidRPr="001328CF" w:rsidRDefault="006A5F89" w:rsidP="006A5F89">
      <w:pPr>
        <w:pStyle w:val="Funotentext"/>
        <w:rPr>
          <w:lang w:val="en-US"/>
        </w:rPr>
      </w:pPr>
      <w:r>
        <w:rPr>
          <w:rStyle w:val="Funotenzeichen"/>
        </w:rPr>
        <w:footnoteRef/>
      </w:r>
      <w:r w:rsidRPr="001328CF">
        <w:rPr>
          <w:lang w:val="en-US"/>
        </w:rPr>
        <w:t xml:space="preserve"> KL 52.</w:t>
      </w:r>
    </w:p>
  </w:footnote>
  <w:footnote w:id="25">
    <w:p w:rsidR="00F413DA" w:rsidRPr="004F3AE8" w:rsidRDefault="00F413DA" w:rsidP="00F413DA">
      <w:pPr>
        <w:pStyle w:val="Funotentext"/>
        <w:rPr>
          <w:lang w:val="en-US"/>
        </w:rPr>
      </w:pPr>
      <w:r>
        <w:rPr>
          <w:rStyle w:val="Funotenzeichen"/>
        </w:rPr>
        <w:footnoteRef/>
      </w:r>
      <w:r w:rsidRPr="004F3AE8">
        <w:rPr>
          <w:lang w:val="en-US"/>
        </w:rPr>
        <w:t xml:space="preserve"> OWMR </w:t>
      </w:r>
      <w:r w:rsidRPr="004F3AE8">
        <w:rPr>
          <w:vertAlign w:val="superscript"/>
          <w:lang w:val="en-US"/>
        </w:rPr>
        <w:t>2002</w:t>
      </w:r>
      <w:r w:rsidRPr="004F3AE8">
        <w:rPr>
          <w:lang w:val="en-US"/>
        </w:rPr>
        <w:t xml:space="preserve"> 66.</w:t>
      </w:r>
    </w:p>
  </w:footnote>
  <w:footnote w:id="26">
    <w:p w:rsidR="00F413DA" w:rsidRPr="004F3AE8" w:rsidRDefault="00F413DA">
      <w:pPr>
        <w:pStyle w:val="Funotentext"/>
        <w:rPr>
          <w:lang w:val="en-US"/>
        </w:rPr>
      </w:pPr>
      <w:r>
        <w:rPr>
          <w:rStyle w:val="Funotenzeichen"/>
        </w:rPr>
        <w:footnoteRef/>
      </w:r>
      <w:r w:rsidRPr="004F3AE8">
        <w:rPr>
          <w:lang w:val="en-US"/>
        </w:rPr>
        <w:t xml:space="preserve"> Por. VD 59.</w:t>
      </w:r>
    </w:p>
  </w:footnote>
  <w:footnote w:id="27">
    <w:p w:rsidR="00830B7D" w:rsidRPr="00830B7D" w:rsidRDefault="00830B7D">
      <w:pPr>
        <w:pStyle w:val="Funotentext"/>
      </w:pPr>
      <w:r>
        <w:rPr>
          <w:rStyle w:val="Funotenzeichen"/>
        </w:rPr>
        <w:footnoteRef/>
      </w:r>
      <w:r>
        <w:t xml:space="preserve"> Por. OWMR </w:t>
      </w:r>
      <w:r>
        <w:rPr>
          <w:vertAlign w:val="superscript"/>
        </w:rPr>
        <w:t>2002</w:t>
      </w:r>
      <w:r>
        <w:t xml:space="preserve"> 66; VD 59.</w:t>
      </w:r>
    </w:p>
  </w:footnote>
  <w:footnote w:id="28">
    <w:p w:rsidR="00B74E0E" w:rsidRPr="004F3AE8" w:rsidRDefault="00B74E0E" w:rsidP="00B74E0E">
      <w:pPr>
        <w:pStyle w:val="Funotentext"/>
        <w:rPr>
          <w:lang w:val="en-US"/>
        </w:rPr>
      </w:pPr>
      <w:r>
        <w:rPr>
          <w:rStyle w:val="Funotenzeichen"/>
        </w:rPr>
        <w:footnoteRef/>
      </w:r>
      <w:r w:rsidRPr="004F3AE8">
        <w:rPr>
          <w:lang w:val="en-US"/>
        </w:rPr>
        <w:t xml:space="preserve"> Por. VD 60.</w:t>
      </w:r>
    </w:p>
  </w:footnote>
  <w:footnote w:id="29">
    <w:p w:rsidR="006A5F89" w:rsidRPr="006A5F89" w:rsidRDefault="006A5F89">
      <w:pPr>
        <w:pStyle w:val="Funotentext"/>
      </w:pPr>
      <w:r>
        <w:rPr>
          <w:rStyle w:val="Funotenzeichen"/>
        </w:rPr>
        <w:footnoteRef/>
      </w:r>
      <w:r>
        <w:t xml:space="preserve"> OWMR </w:t>
      </w:r>
      <w:r>
        <w:rPr>
          <w:vertAlign w:val="superscript"/>
        </w:rPr>
        <w:t>2002</w:t>
      </w:r>
      <w:r>
        <w:t xml:space="preserve"> 56.</w:t>
      </w:r>
    </w:p>
  </w:footnote>
  <w:footnote w:id="30">
    <w:p w:rsidR="005628C7" w:rsidRPr="005628C7" w:rsidRDefault="005628C7">
      <w:pPr>
        <w:pStyle w:val="Funotentext"/>
      </w:pPr>
      <w:r>
        <w:rPr>
          <w:rStyle w:val="Funotenzeichen"/>
        </w:rPr>
        <w:footnoteRef/>
      </w:r>
      <w:r>
        <w:t xml:space="preserve"> OWMR </w:t>
      </w:r>
      <w:r>
        <w:rPr>
          <w:vertAlign w:val="superscript"/>
        </w:rPr>
        <w:t>2002</w:t>
      </w:r>
      <w:r>
        <w:t xml:space="preserve"> 67-68.</w:t>
      </w:r>
    </w:p>
  </w:footnote>
  <w:footnote w:id="31">
    <w:p w:rsidR="004F2A95" w:rsidRDefault="004F2A95">
      <w:pPr>
        <w:pStyle w:val="Funotentext"/>
      </w:pPr>
      <w:r>
        <w:rPr>
          <w:rStyle w:val="Funotenzeichen"/>
        </w:rPr>
        <w:footnoteRef/>
      </w:r>
      <w:r>
        <w:t xml:space="preserve"> Por. PF </w:t>
      </w:r>
      <w:r w:rsidR="00964661">
        <w:t>9.</w:t>
      </w:r>
    </w:p>
  </w:footnote>
  <w:footnote w:id="32">
    <w:p w:rsidR="004A2671" w:rsidRPr="004A2671" w:rsidRDefault="004A2671">
      <w:pPr>
        <w:pStyle w:val="Funotentext"/>
      </w:pPr>
      <w:r>
        <w:rPr>
          <w:rStyle w:val="Funotenzeichen"/>
        </w:rPr>
        <w:footnoteRef/>
      </w:r>
      <w:r>
        <w:t xml:space="preserve"> Por. Papieska Rada ds. Krzewienia Nowej Ewangelizacji, </w:t>
      </w:r>
      <w:r>
        <w:rPr>
          <w:i/>
        </w:rPr>
        <w:t xml:space="preserve">Żyć rokiem wiary,Program duszpasterski, </w:t>
      </w:r>
      <w:r>
        <w:t>Edycja Świętego Pawła, 2012, s. 20-32.</w:t>
      </w:r>
    </w:p>
  </w:footnote>
  <w:footnote w:id="33">
    <w:p w:rsidR="00964661" w:rsidRDefault="00964661">
      <w:pPr>
        <w:pStyle w:val="Funotentext"/>
      </w:pPr>
      <w:r>
        <w:rPr>
          <w:rStyle w:val="Funotenzeichen"/>
        </w:rPr>
        <w:footnoteRef/>
      </w:r>
      <w:r>
        <w:t xml:space="preserve"> Por. Tamże, s. 33-34.</w:t>
      </w:r>
    </w:p>
  </w:footnote>
  <w:footnote w:id="34">
    <w:p w:rsidR="009D7569" w:rsidRDefault="009D7569">
      <w:pPr>
        <w:pStyle w:val="Funotentext"/>
      </w:pPr>
      <w:r>
        <w:rPr>
          <w:rStyle w:val="Funotenzeichen"/>
        </w:rPr>
        <w:footnoteRef/>
      </w:r>
      <w:r>
        <w:t xml:space="preserve"> Por. Tamże, s. 157.</w:t>
      </w:r>
    </w:p>
  </w:footnote>
  <w:footnote w:id="35">
    <w:p w:rsidR="009D7569" w:rsidRDefault="009D7569">
      <w:pPr>
        <w:pStyle w:val="Funotentext"/>
      </w:pPr>
      <w:r>
        <w:rPr>
          <w:rStyle w:val="Funotenzeichen"/>
        </w:rPr>
        <w:footnoteRef/>
      </w:r>
      <w:r>
        <w:t xml:space="preserve"> Por. Tamże, s. 8.</w:t>
      </w:r>
    </w:p>
  </w:footnote>
  <w:footnote w:id="36">
    <w:p w:rsidR="00260A14" w:rsidRDefault="00260A14">
      <w:pPr>
        <w:pStyle w:val="Funotentext"/>
      </w:pPr>
      <w:r>
        <w:rPr>
          <w:rStyle w:val="Funotenzeichen"/>
        </w:rPr>
        <w:footnoteRef/>
      </w:r>
      <w:r>
        <w:t xml:space="preserve"> KL 53.</w:t>
      </w:r>
    </w:p>
  </w:footnote>
  <w:footnote w:id="37">
    <w:p w:rsidR="004966F1" w:rsidRPr="004966F1" w:rsidRDefault="004966F1">
      <w:pPr>
        <w:pStyle w:val="Funotentext"/>
      </w:pPr>
      <w:r>
        <w:rPr>
          <w:rStyle w:val="Funotenzeichen"/>
        </w:rPr>
        <w:footnoteRef/>
      </w:r>
      <w:r>
        <w:t xml:space="preserve"> OWMR </w:t>
      </w:r>
      <w:r>
        <w:rPr>
          <w:vertAlign w:val="superscript"/>
        </w:rPr>
        <w:t>2002</w:t>
      </w:r>
      <w:r>
        <w:t xml:space="preserve"> 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FC3" w:rsidRPr="002E0FC3" w:rsidRDefault="002E0FC3" w:rsidP="002E0FC3">
    <w:pPr>
      <w:tabs>
        <w:tab w:val="center" w:pos="4536"/>
        <w:tab w:val="right" w:pos="9072"/>
      </w:tabs>
      <w:ind w:firstLine="0"/>
      <w:jc w:val="right"/>
      <w:rPr>
        <w:rFonts w:eastAsiaTheme="minorHAnsi" w:cstheme="minorBidi"/>
        <w:i/>
        <w:kern w:val="0"/>
        <w:szCs w:val="22"/>
        <w:lang w:eastAsia="en-US" w:bidi="ar-SA"/>
      </w:rPr>
    </w:pPr>
    <w:r w:rsidRPr="002E0FC3">
      <w:rPr>
        <w:rFonts w:eastAsiaTheme="minorHAnsi" w:cstheme="minorBidi"/>
        <w:i/>
        <w:kern w:val="0"/>
        <w:szCs w:val="22"/>
        <w:lang w:eastAsia="en-US" w:bidi="ar-SA"/>
      </w:rPr>
      <w:t>Spotkania liturgiczne w polskiej parafii we Frankfurcie</w:t>
    </w:r>
    <w:r>
      <w:rPr>
        <w:rFonts w:eastAsiaTheme="minorHAnsi" w:cstheme="minorBidi"/>
        <w:i/>
        <w:kern w:val="0"/>
        <w:szCs w:val="22"/>
        <w:lang w:eastAsia="en-US" w:bidi="ar-SA"/>
      </w:rPr>
      <w:t xml:space="preserve"> – Liturgia Słowa</w:t>
    </w:r>
    <w:r w:rsidRPr="002E0FC3">
      <w:rPr>
        <w:rFonts w:eastAsiaTheme="minorHAnsi" w:cstheme="minorBidi"/>
        <w:i/>
        <w:kern w:val="0"/>
        <w:szCs w:val="22"/>
        <w:lang w:eastAsia="en-US" w:bidi="ar-SA"/>
      </w:rPr>
      <w:t xml:space="preserve"> (1</w:t>
    </w:r>
    <w:r w:rsidR="00EC6697">
      <w:rPr>
        <w:rFonts w:eastAsiaTheme="minorHAnsi" w:cstheme="minorBidi"/>
        <w:i/>
        <w:kern w:val="0"/>
        <w:szCs w:val="22"/>
        <w:lang w:eastAsia="en-US" w:bidi="ar-SA"/>
      </w:rPr>
      <w:t>2</w:t>
    </w:r>
    <w:r w:rsidRPr="002E0FC3">
      <w:rPr>
        <w:rFonts w:eastAsiaTheme="minorHAnsi" w:cstheme="minorBidi"/>
        <w:i/>
        <w:kern w:val="0"/>
        <w:szCs w:val="22"/>
        <w:lang w:eastAsia="en-US" w:bidi="ar-SA"/>
      </w:rPr>
      <w:t>.</w:t>
    </w:r>
    <w:r w:rsidR="00EC6697">
      <w:rPr>
        <w:rFonts w:eastAsiaTheme="minorHAnsi" w:cstheme="minorBidi"/>
        <w:i/>
        <w:kern w:val="0"/>
        <w:szCs w:val="22"/>
        <w:lang w:eastAsia="en-US" w:bidi="ar-SA"/>
      </w:rPr>
      <w:t>0</w:t>
    </w:r>
    <w:r w:rsidRPr="002E0FC3">
      <w:rPr>
        <w:rFonts w:eastAsiaTheme="minorHAnsi" w:cstheme="minorBidi"/>
        <w:i/>
        <w:kern w:val="0"/>
        <w:szCs w:val="22"/>
        <w:lang w:eastAsia="en-US" w:bidi="ar-SA"/>
      </w:rPr>
      <w:t>1.201)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D30F9"/>
    <w:multiLevelType w:val="hybridMultilevel"/>
    <w:tmpl w:val="3684C826"/>
    <w:lvl w:ilvl="0" w:tplc="F03854C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C0EDE"/>
    <w:rsid w:val="00030949"/>
    <w:rsid w:val="00072B0B"/>
    <w:rsid w:val="00077E1E"/>
    <w:rsid w:val="000C0EDE"/>
    <w:rsid w:val="000C503A"/>
    <w:rsid w:val="000F4A21"/>
    <w:rsid w:val="00100C3E"/>
    <w:rsid w:val="001328CF"/>
    <w:rsid w:val="001344BD"/>
    <w:rsid w:val="001A23E8"/>
    <w:rsid w:val="001C350A"/>
    <w:rsid w:val="001E3619"/>
    <w:rsid w:val="002006A0"/>
    <w:rsid w:val="00206889"/>
    <w:rsid w:val="00231555"/>
    <w:rsid w:val="00260A14"/>
    <w:rsid w:val="0027763C"/>
    <w:rsid w:val="002A29BF"/>
    <w:rsid w:val="002D417F"/>
    <w:rsid w:val="002E0FC3"/>
    <w:rsid w:val="00321AA2"/>
    <w:rsid w:val="003535C8"/>
    <w:rsid w:val="003600BE"/>
    <w:rsid w:val="00366BAB"/>
    <w:rsid w:val="003846C3"/>
    <w:rsid w:val="003C2F93"/>
    <w:rsid w:val="003D0369"/>
    <w:rsid w:val="003D06C9"/>
    <w:rsid w:val="003F13A6"/>
    <w:rsid w:val="00403F5E"/>
    <w:rsid w:val="00405D90"/>
    <w:rsid w:val="00455A8D"/>
    <w:rsid w:val="004966F1"/>
    <w:rsid w:val="004A2671"/>
    <w:rsid w:val="004B1476"/>
    <w:rsid w:val="004B7356"/>
    <w:rsid w:val="004F2A95"/>
    <w:rsid w:val="004F3AE8"/>
    <w:rsid w:val="00536757"/>
    <w:rsid w:val="00552BBA"/>
    <w:rsid w:val="0055596C"/>
    <w:rsid w:val="005628C7"/>
    <w:rsid w:val="005A05DB"/>
    <w:rsid w:val="005A2AC3"/>
    <w:rsid w:val="005A4CD9"/>
    <w:rsid w:val="005C4735"/>
    <w:rsid w:val="00614CB3"/>
    <w:rsid w:val="006A5F89"/>
    <w:rsid w:val="006D28B4"/>
    <w:rsid w:val="00727C1D"/>
    <w:rsid w:val="007F66F7"/>
    <w:rsid w:val="00804474"/>
    <w:rsid w:val="00830B7D"/>
    <w:rsid w:val="00846C92"/>
    <w:rsid w:val="00865851"/>
    <w:rsid w:val="008E7C46"/>
    <w:rsid w:val="00910C68"/>
    <w:rsid w:val="0095639E"/>
    <w:rsid w:val="00964661"/>
    <w:rsid w:val="00971447"/>
    <w:rsid w:val="009747B8"/>
    <w:rsid w:val="009848E9"/>
    <w:rsid w:val="009A41BE"/>
    <w:rsid w:val="009D7569"/>
    <w:rsid w:val="00A167F1"/>
    <w:rsid w:val="00A17315"/>
    <w:rsid w:val="00AA7EF1"/>
    <w:rsid w:val="00AF217F"/>
    <w:rsid w:val="00B24CAE"/>
    <w:rsid w:val="00B559F7"/>
    <w:rsid w:val="00B6730A"/>
    <w:rsid w:val="00B74E0E"/>
    <w:rsid w:val="00B82603"/>
    <w:rsid w:val="00B97D86"/>
    <w:rsid w:val="00BB37FE"/>
    <w:rsid w:val="00BC10B4"/>
    <w:rsid w:val="00BD302B"/>
    <w:rsid w:val="00BE53EA"/>
    <w:rsid w:val="00BE6129"/>
    <w:rsid w:val="00C86892"/>
    <w:rsid w:val="00CB0A06"/>
    <w:rsid w:val="00D15930"/>
    <w:rsid w:val="00D27488"/>
    <w:rsid w:val="00D33221"/>
    <w:rsid w:val="00D91892"/>
    <w:rsid w:val="00D95D1A"/>
    <w:rsid w:val="00DE3091"/>
    <w:rsid w:val="00E21027"/>
    <w:rsid w:val="00E24110"/>
    <w:rsid w:val="00E82675"/>
    <w:rsid w:val="00EC1489"/>
    <w:rsid w:val="00EC6697"/>
    <w:rsid w:val="00F413DA"/>
    <w:rsid w:val="00F44660"/>
    <w:rsid w:val="00F97B2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Lucida Sans Unicode"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23E8"/>
    <w:pPr>
      <w:ind w:firstLine="709"/>
    </w:pPr>
    <w:rPr>
      <w:rFonts w:cs="Mangal"/>
      <w:kern w:val="1"/>
      <w:szCs w:val="24"/>
      <w:lang w:eastAsia="hi-IN" w:bidi="hi-IN"/>
    </w:rPr>
  </w:style>
  <w:style w:type="paragraph" w:styleId="berschrift2">
    <w:name w:val="heading 2"/>
    <w:basedOn w:val="Standard"/>
    <w:next w:val="Standard"/>
    <w:link w:val="berschrift2Zchn"/>
    <w:uiPriority w:val="9"/>
    <w:unhideWhenUsed/>
    <w:qFormat/>
    <w:rsid w:val="000C0EDE"/>
    <w:pPr>
      <w:keepNext/>
      <w:keepLines/>
      <w:spacing w:before="200"/>
      <w:outlineLvl w:val="1"/>
    </w:pPr>
    <w:rPr>
      <w:rFonts w:asciiTheme="majorHAnsi" w:eastAsiaTheme="majorEastAsia" w:hAnsiTheme="majorHAnsi"/>
      <w:b/>
      <w:bCs/>
      <w:color w:val="4F81BD" w:themeColor="accent1"/>
      <w:sz w:val="26"/>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C0EDE"/>
    <w:rPr>
      <w:rFonts w:asciiTheme="majorHAnsi" w:eastAsiaTheme="majorEastAsia" w:hAnsiTheme="majorHAnsi" w:cs="Mangal"/>
      <w:b/>
      <w:bCs/>
      <w:color w:val="4F81BD" w:themeColor="accent1"/>
      <w:kern w:val="1"/>
      <w:sz w:val="26"/>
      <w:szCs w:val="23"/>
      <w:lang w:eastAsia="hi-IN" w:bidi="hi-IN"/>
    </w:rPr>
  </w:style>
  <w:style w:type="paragraph" w:styleId="Funotentext">
    <w:name w:val="footnote text"/>
    <w:basedOn w:val="Standard"/>
    <w:link w:val="FunotentextZchn"/>
    <w:uiPriority w:val="99"/>
    <w:semiHidden/>
    <w:unhideWhenUsed/>
    <w:rsid w:val="002E0FC3"/>
    <w:rPr>
      <w:sz w:val="20"/>
      <w:szCs w:val="18"/>
    </w:rPr>
  </w:style>
  <w:style w:type="character" w:customStyle="1" w:styleId="FunotentextZchn">
    <w:name w:val="Fußnotentext Zchn"/>
    <w:basedOn w:val="Absatz-Standardschriftart"/>
    <w:link w:val="Funotentext"/>
    <w:uiPriority w:val="99"/>
    <w:semiHidden/>
    <w:rsid w:val="002E0FC3"/>
    <w:rPr>
      <w:rFonts w:cs="Mangal"/>
      <w:kern w:val="1"/>
      <w:sz w:val="20"/>
      <w:szCs w:val="18"/>
      <w:lang w:eastAsia="hi-IN" w:bidi="hi-IN"/>
    </w:rPr>
  </w:style>
  <w:style w:type="character" w:styleId="Funotenzeichen">
    <w:name w:val="footnote reference"/>
    <w:basedOn w:val="Absatz-Standardschriftart"/>
    <w:uiPriority w:val="99"/>
    <w:semiHidden/>
    <w:unhideWhenUsed/>
    <w:rsid w:val="002E0FC3"/>
    <w:rPr>
      <w:vertAlign w:val="superscript"/>
    </w:rPr>
  </w:style>
  <w:style w:type="paragraph" w:styleId="Kopfzeile">
    <w:name w:val="header"/>
    <w:basedOn w:val="Standard"/>
    <w:link w:val="KopfzeileZchn"/>
    <w:uiPriority w:val="99"/>
    <w:unhideWhenUsed/>
    <w:rsid w:val="002E0FC3"/>
    <w:pPr>
      <w:tabs>
        <w:tab w:val="center" w:pos="4536"/>
        <w:tab w:val="right" w:pos="9072"/>
      </w:tabs>
    </w:pPr>
  </w:style>
  <w:style w:type="character" w:customStyle="1" w:styleId="KopfzeileZchn">
    <w:name w:val="Kopfzeile Zchn"/>
    <w:basedOn w:val="Absatz-Standardschriftart"/>
    <w:link w:val="Kopfzeile"/>
    <w:uiPriority w:val="99"/>
    <w:rsid w:val="002E0FC3"/>
    <w:rPr>
      <w:rFonts w:cs="Mangal"/>
      <w:kern w:val="1"/>
      <w:szCs w:val="24"/>
      <w:lang w:eastAsia="hi-IN" w:bidi="hi-IN"/>
    </w:rPr>
  </w:style>
  <w:style w:type="paragraph" w:styleId="Fuzeile">
    <w:name w:val="footer"/>
    <w:basedOn w:val="Standard"/>
    <w:link w:val="FuzeileZchn"/>
    <w:uiPriority w:val="99"/>
    <w:unhideWhenUsed/>
    <w:rsid w:val="002E0FC3"/>
    <w:pPr>
      <w:tabs>
        <w:tab w:val="center" w:pos="4536"/>
        <w:tab w:val="right" w:pos="9072"/>
      </w:tabs>
    </w:pPr>
  </w:style>
  <w:style w:type="character" w:customStyle="1" w:styleId="FuzeileZchn">
    <w:name w:val="Fußzeile Zchn"/>
    <w:basedOn w:val="Absatz-Standardschriftart"/>
    <w:link w:val="Fuzeile"/>
    <w:uiPriority w:val="99"/>
    <w:rsid w:val="002E0FC3"/>
    <w:rPr>
      <w:rFonts w:cs="Mangal"/>
      <w:kern w:val="1"/>
      <w:szCs w:val="24"/>
      <w:lang w:eastAsia="hi-IN" w:bidi="hi-IN"/>
    </w:rPr>
  </w:style>
  <w:style w:type="paragraph" w:styleId="Listenabsatz">
    <w:name w:val="List Paragraph"/>
    <w:basedOn w:val="Standard"/>
    <w:uiPriority w:val="34"/>
    <w:qFormat/>
    <w:rsid w:val="00206889"/>
    <w:pPr>
      <w:ind w:left="720"/>
      <w:contextualSpacing/>
    </w:pPr>
  </w:style>
  <w:style w:type="paragraph" w:styleId="Textkrper2">
    <w:name w:val="Body Text 2"/>
    <w:basedOn w:val="Standard"/>
    <w:link w:val="Textkrper2Zchn"/>
    <w:rsid w:val="005628C7"/>
    <w:pPr>
      <w:spacing w:before="120"/>
      <w:ind w:firstLine="0"/>
    </w:pPr>
    <w:rPr>
      <w:rFonts w:ascii="Times New Roman" w:eastAsia="Times New Roman" w:hAnsi="Times New Roman" w:cs="Times New Roman"/>
      <w:kern w:val="0"/>
      <w:sz w:val="24"/>
      <w:szCs w:val="20"/>
      <w:lang w:eastAsia="pl-PL" w:bidi="ar-SA"/>
    </w:rPr>
  </w:style>
  <w:style w:type="character" w:customStyle="1" w:styleId="Textkrper2Zchn">
    <w:name w:val="Textkörper 2 Zchn"/>
    <w:basedOn w:val="Absatz-Standardschriftart"/>
    <w:link w:val="Textkrper2"/>
    <w:rsid w:val="005628C7"/>
    <w:rPr>
      <w:rFonts w:ascii="Times New Roman" w:eastAsia="Times New Roman" w:hAnsi="Times New Roman" w:cs="Times New Roman"/>
      <w:sz w:val="24"/>
      <w:szCs w:val="20"/>
      <w:lang w:eastAsia="pl-PL"/>
    </w:rPr>
  </w:style>
  <w:style w:type="paragraph" w:styleId="Textkrper">
    <w:name w:val="Body Text"/>
    <w:basedOn w:val="Standard"/>
    <w:link w:val="TextkrperZchn"/>
    <w:uiPriority w:val="99"/>
    <w:rsid w:val="00964661"/>
    <w:pPr>
      <w:spacing w:after="120"/>
      <w:ind w:firstLine="0"/>
      <w:jc w:val="left"/>
    </w:pPr>
    <w:rPr>
      <w:rFonts w:ascii="Calibri" w:eastAsiaTheme="minorEastAsia" w:hAnsi="Calibri" w:cs="Calibri"/>
      <w:kern w:val="0"/>
      <w:szCs w:val="22"/>
      <w:lang w:eastAsia="en-US" w:bidi="ar-SA"/>
    </w:rPr>
  </w:style>
  <w:style w:type="character" w:customStyle="1" w:styleId="TextkrperZchn">
    <w:name w:val="Textkörper Zchn"/>
    <w:basedOn w:val="Absatz-Standardschriftart"/>
    <w:link w:val="Textkrper"/>
    <w:uiPriority w:val="99"/>
    <w:rsid w:val="00964661"/>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3E8"/>
    <w:pPr>
      <w:ind w:firstLine="709"/>
    </w:pPr>
    <w:rPr>
      <w:rFonts w:cs="Mangal"/>
      <w:kern w:val="1"/>
      <w:szCs w:val="24"/>
      <w:lang w:eastAsia="hi-IN" w:bidi="hi-IN"/>
    </w:rPr>
  </w:style>
  <w:style w:type="paragraph" w:styleId="Nagwek2">
    <w:name w:val="heading 2"/>
    <w:basedOn w:val="Normalny"/>
    <w:next w:val="Normalny"/>
    <w:link w:val="Nagwek2Znak"/>
    <w:uiPriority w:val="9"/>
    <w:unhideWhenUsed/>
    <w:qFormat/>
    <w:rsid w:val="000C0EDE"/>
    <w:pPr>
      <w:keepNext/>
      <w:keepLines/>
      <w:spacing w:before="200"/>
      <w:outlineLvl w:val="1"/>
    </w:pPr>
    <w:rPr>
      <w:rFonts w:asciiTheme="majorHAnsi" w:eastAsiaTheme="majorEastAsia" w:hAnsiTheme="majorHAnsi"/>
      <w:b/>
      <w:bCs/>
      <w:color w:val="4F81BD" w:themeColor="accent1"/>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C0EDE"/>
    <w:rPr>
      <w:rFonts w:asciiTheme="majorHAnsi" w:eastAsiaTheme="majorEastAsia" w:hAnsiTheme="majorHAnsi" w:cs="Mangal"/>
      <w:b/>
      <w:bCs/>
      <w:color w:val="4F81BD" w:themeColor="accent1"/>
      <w:kern w:val="1"/>
      <w:sz w:val="26"/>
      <w:szCs w:val="23"/>
      <w:lang w:eastAsia="hi-IN" w:bidi="hi-IN"/>
    </w:rPr>
  </w:style>
  <w:style w:type="paragraph" w:styleId="Tekstprzypisudolnego">
    <w:name w:val="footnote text"/>
    <w:basedOn w:val="Normalny"/>
    <w:link w:val="TekstprzypisudolnegoZnak"/>
    <w:uiPriority w:val="99"/>
    <w:semiHidden/>
    <w:unhideWhenUsed/>
    <w:rsid w:val="002E0FC3"/>
    <w:rPr>
      <w:sz w:val="20"/>
      <w:szCs w:val="18"/>
    </w:rPr>
  </w:style>
  <w:style w:type="character" w:customStyle="1" w:styleId="TekstprzypisudolnegoZnak">
    <w:name w:val="Tekst przypisu dolnego Znak"/>
    <w:basedOn w:val="Domylnaczcionkaakapitu"/>
    <w:link w:val="Tekstprzypisudolnego"/>
    <w:uiPriority w:val="99"/>
    <w:semiHidden/>
    <w:rsid w:val="002E0FC3"/>
    <w:rPr>
      <w:rFonts w:cs="Mangal"/>
      <w:kern w:val="1"/>
      <w:sz w:val="20"/>
      <w:szCs w:val="18"/>
      <w:lang w:eastAsia="hi-IN" w:bidi="hi-IN"/>
    </w:rPr>
  </w:style>
  <w:style w:type="character" w:styleId="Odwoanieprzypisudolnego">
    <w:name w:val="footnote reference"/>
    <w:basedOn w:val="Domylnaczcionkaakapitu"/>
    <w:uiPriority w:val="99"/>
    <w:semiHidden/>
    <w:unhideWhenUsed/>
    <w:rsid w:val="002E0FC3"/>
    <w:rPr>
      <w:vertAlign w:val="superscript"/>
    </w:rPr>
  </w:style>
  <w:style w:type="paragraph" w:styleId="Nagwek">
    <w:name w:val="header"/>
    <w:basedOn w:val="Normalny"/>
    <w:link w:val="NagwekZnak"/>
    <w:uiPriority w:val="99"/>
    <w:unhideWhenUsed/>
    <w:rsid w:val="002E0FC3"/>
    <w:pPr>
      <w:tabs>
        <w:tab w:val="center" w:pos="4536"/>
        <w:tab w:val="right" w:pos="9072"/>
      </w:tabs>
    </w:pPr>
  </w:style>
  <w:style w:type="character" w:customStyle="1" w:styleId="NagwekZnak">
    <w:name w:val="Nagłówek Znak"/>
    <w:basedOn w:val="Domylnaczcionkaakapitu"/>
    <w:link w:val="Nagwek"/>
    <w:uiPriority w:val="99"/>
    <w:rsid w:val="002E0FC3"/>
    <w:rPr>
      <w:rFonts w:cs="Mangal"/>
      <w:kern w:val="1"/>
      <w:szCs w:val="24"/>
      <w:lang w:eastAsia="hi-IN" w:bidi="hi-IN"/>
    </w:rPr>
  </w:style>
  <w:style w:type="paragraph" w:styleId="Stopka">
    <w:name w:val="footer"/>
    <w:basedOn w:val="Normalny"/>
    <w:link w:val="StopkaZnak"/>
    <w:uiPriority w:val="99"/>
    <w:unhideWhenUsed/>
    <w:rsid w:val="002E0FC3"/>
    <w:pPr>
      <w:tabs>
        <w:tab w:val="center" w:pos="4536"/>
        <w:tab w:val="right" w:pos="9072"/>
      </w:tabs>
    </w:pPr>
  </w:style>
  <w:style w:type="character" w:customStyle="1" w:styleId="StopkaZnak">
    <w:name w:val="Stopka Znak"/>
    <w:basedOn w:val="Domylnaczcionkaakapitu"/>
    <w:link w:val="Stopka"/>
    <w:uiPriority w:val="99"/>
    <w:rsid w:val="002E0FC3"/>
    <w:rPr>
      <w:rFonts w:cs="Mangal"/>
      <w:kern w:val="1"/>
      <w:szCs w:val="24"/>
      <w:lang w:eastAsia="hi-IN" w:bidi="hi-IN"/>
    </w:rPr>
  </w:style>
  <w:style w:type="paragraph" w:styleId="Akapitzlist">
    <w:name w:val="List Paragraph"/>
    <w:basedOn w:val="Normalny"/>
    <w:uiPriority w:val="34"/>
    <w:qFormat/>
    <w:rsid w:val="00206889"/>
    <w:pPr>
      <w:ind w:left="720"/>
      <w:contextualSpacing/>
    </w:pPr>
  </w:style>
  <w:style w:type="paragraph" w:styleId="Tekstpodstawowy2">
    <w:name w:val="Body Text 2"/>
    <w:basedOn w:val="Normalny"/>
    <w:link w:val="Tekstpodstawowy2Znak"/>
    <w:rsid w:val="005628C7"/>
    <w:pPr>
      <w:spacing w:before="120"/>
      <w:ind w:firstLine="0"/>
    </w:pPr>
    <w:rPr>
      <w:rFonts w:ascii="Times New Roman" w:eastAsia="Times New Roman" w:hAnsi="Times New Roman" w:cs="Times New Roman"/>
      <w:kern w:val="0"/>
      <w:sz w:val="24"/>
      <w:szCs w:val="20"/>
      <w:lang w:eastAsia="pl-PL" w:bidi="ar-SA"/>
    </w:rPr>
  </w:style>
  <w:style w:type="character" w:customStyle="1" w:styleId="Tekstpodstawowy2Znak">
    <w:name w:val="Tekst podstawowy 2 Znak"/>
    <w:basedOn w:val="Domylnaczcionkaakapitu"/>
    <w:link w:val="Tekstpodstawowy2"/>
    <w:rsid w:val="005628C7"/>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rsid w:val="00964661"/>
    <w:pPr>
      <w:spacing w:after="120"/>
      <w:ind w:firstLine="0"/>
      <w:jc w:val="left"/>
    </w:pPr>
    <w:rPr>
      <w:rFonts w:ascii="Calibri" w:eastAsiaTheme="minorEastAsia" w:hAnsi="Calibri" w:cs="Calibri"/>
      <w:kern w:val="0"/>
      <w:szCs w:val="22"/>
      <w:lang w:eastAsia="en-US" w:bidi="ar-SA"/>
    </w:rPr>
  </w:style>
  <w:style w:type="character" w:customStyle="1" w:styleId="TekstpodstawowyZnak">
    <w:name w:val="Tekst podstawowy Znak"/>
    <w:basedOn w:val="Domylnaczcionkaakapitu"/>
    <w:link w:val="Tekstpodstawowy"/>
    <w:uiPriority w:val="99"/>
    <w:rsid w:val="00964661"/>
    <w:rPr>
      <w:rFonts w:ascii="Calibri" w:eastAsiaTheme="minorEastAsia" w:hAnsi="Calibri" w:cs="Calibri"/>
    </w:rPr>
  </w:style>
</w:styles>
</file>

<file path=word/webSettings.xml><?xml version="1.0" encoding="utf-8"?>
<w:webSettings xmlns:r="http://schemas.openxmlformats.org/officeDocument/2006/relationships" xmlns:w="http://schemas.openxmlformats.org/wordprocessingml/2006/main">
  <w:divs>
    <w:div w:id="184253842">
      <w:bodyDiv w:val="1"/>
      <w:marLeft w:val="0"/>
      <w:marRight w:val="0"/>
      <w:marTop w:val="0"/>
      <w:marBottom w:val="0"/>
      <w:divBdr>
        <w:top w:val="none" w:sz="0" w:space="0" w:color="auto"/>
        <w:left w:val="none" w:sz="0" w:space="0" w:color="auto"/>
        <w:bottom w:val="none" w:sz="0" w:space="0" w:color="auto"/>
        <w:right w:val="none" w:sz="0" w:space="0" w:color="auto"/>
      </w:divBdr>
    </w:div>
    <w:div w:id="205486301">
      <w:bodyDiv w:val="1"/>
      <w:marLeft w:val="0"/>
      <w:marRight w:val="0"/>
      <w:marTop w:val="0"/>
      <w:marBottom w:val="0"/>
      <w:divBdr>
        <w:top w:val="none" w:sz="0" w:space="0" w:color="auto"/>
        <w:left w:val="none" w:sz="0" w:space="0" w:color="auto"/>
        <w:bottom w:val="none" w:sz="0" w:space="0" w:color="auto"/>
        <w:right w:val="none" w:sz="0" w:space="0" w:color="auto"/>
      </w:divBdr>
    </w:div>
    <w:div w:id="1081104261">
      <w:bodyDiv w:val="1"/>
      <w:marLeft w:val="0"/>
      <w:marRight w:val="0"/>
      <w:marTop w:val="0"/>
      <w:marBottom w:val="0"/>
      <w:divBdr>
        <w:top w:val="none" w:sz="0" w:space="0" w:color="auto"/>
        <w:left w:val="none" w:sz="0" w:space="0" w:color="auto"/>
        <w:bottom w:val="none" w:sz="0" w:space="0" w:color="auto"/>
        <w:right w:val="none" w:sz="0" w:space="0" w:color="auto"/>
      </w:divBdr>
    </w:div>
    <w:div w:id="147772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81212-0B0B-4766-A8EC-2E178099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2569</Words>
  <Characters>16191</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dc:creator>
  <cp:lastModifiedBy>Waldemar</cp:lastModifiedBy>
  <cp:revision>2</cp:revision>
  <dcterms:created xsi:type="dcterms:W3CDTF">2013-01-14T07:46:00Z</dcterms:created>
  <dcterms:modified xsi:type="dcterms:W3CDTF">2013-01-14T07:46:00Z</dcterms:modified>
</cp:coreProperties>
</file>